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6F467">
      <w:pPr>
        <w:pStyle w:val="2"/>
      </w:pPr>
      <w:bookmarkStart w:id="0" w:name="_Toc199782222"/>
      <w:bookmarkStart w:id="12" w:name="_GoBack"/>
      <w:bookmarkEnd w:id="12"/>
      <w:r>
        <w:t>BAB II</w:t>
      </w:r>
      <w:bookmarkEnd w:id="0"/>
    </w:p>
    <w:p w14:paraId="5814DA25">
      <w:pPr>
        <w:pStyle w:val="2"/>
      </w:pPr>
      <w:bookmarkStart w:id="1" w:name="_Toc199782223"/>
      <w:r>
        <w:t>TINJAUAN PUSTAKA</w:t>
      </w:r>
      <w:bookmarkEnd w:id="1"/>
    </w:p>
    <w:p w14:paraId="4C2D308F">
      <w:pPr>
        <w:pStyle w:val="3"/>
      </w:pPr>
      <w:bookmarkStart w:id="2" w:name="_Toc199782224"/>
      <w:r>
        <w:t>2.1 Kajian Teori</w:t>
      </w:r>
      <w:bookmarkEnd w:id="2"/>
      <w:r>
        <w:t xml:space="preserve"> </w:t>
      </w:r>
    </w:p>
    <w:p w14:paraId="0579FDF5">
      <w:pPr>
        <w:pStyle w:val="4"/>
      </w:pPr>
      <w:bookmarkStart w:id="3" w:name="_Toc199782225"/>
      <w:r>
        <w:t>2.1.1 Pengertian Perlindungan Hukum</w:t>
      </w:r>
      <w:bookmarkEnd w:id="3"/>
    </w:p>
    <w:p w14:paraId="636D8DCB">
      <w:pPr>
        <w:spacing w:after="0" w:line="480" w:lineRule="auto"/>
        <w:ind w:firstLine="567"/>
        <w:jc w:val="both"/>
        <w:rPr>
          <w:rFonts w:ascii="Times New Roman" w:hAnsi="Times New Roman"/>
          <w:sz w:val="24"/>
          <w:szCs w:val="24"/>
        </w:rPr>
      </w:pPr>
      <w:r>
        <w:rPr>
          <w:rFonts w:ascii="Times New Roman" w:hAnsi="Times New Roman"/>
          <w:sz w:val="24"/>
          <w:szCs w:val="24"/>
        </w:rPr>
        <w:t xml:space="preserve">Perlindungan hukum adalah suatu bentuk perlindungan yang diberikan oleh hukum dengan tujuan untuk menjamin hak-hak warga negara, memberikan rasa aman, dan mencegah terjadinya pelanggaran hukum. Menurut Satjipto Rahardjo, perlindungan hukum adalah Upaya yang dilakukan melalui perangkat hukum untuk melindungan hak-hak seseorang dari Tindakan sewenang-wenang yang dapat merugikan. </w:t>
      </w:r>
    </w:p>
    <w:p w14:paraId="7551FB5A">
      <w:pPr>
        <w:spacing w:after="0" w:line="480" w:lineRule="auto"/>
        <w:ind w:firstLine="567"/>
        <w:jc w:val="both"/>
        <w:rPr>
          <w:rFonts w:ascii="Times New Roman" w:hAnsi="Times New Roman"/>
          <w:sz w:val="24"/>
          <w:szCs w:val="24"/>
        </w:rPr>
      </w:pPr>
      <w:r>
        <w:rPr>
          <w:rFonts w:ascii="Times New Roman" w:hAnsi="Times New Roman"/>
          <w:sz w:val="24"/>
          <w:szCs w:val="24"/>
        </w:rPr>
        <w:t xml:space="preserve">Adapun ciri-ciri perlindungan hukum menurut teori Rahardjo yaitu: </w:t>
      </w:r>
    </w:p>
    <w:p w14:paraId="259B757A">
      <w:pPr>
        <w:numPr>
          <w:ilvl w:val="0"/>
          <w:numId w:val="1"/>
        </w:numPr>
        <w:spacing w:after="0" w:line="480" w:lineRule="auto"/>
        <w:ind w:left="567"/>
        <w:jc w:val="both"/>
        <w:rPr>
          <w:rFonts w:ascii="Times New Roman" w:hAnsi="Times New Roman"/>
          <w:sz w:val="24"/>
          <w:szCs w:val="24"/>
        </w:rPr>
      </w:pPr>
      <w:r>
        <w:rPr>
          <w:rFonts w:ascii="Times New Roman" w:hAnsi="Times New Roman"/>
          <w:sz w:val="24"/>
          <w:szCs w:val="24"/>
        </w:rPr>
        <w:t>Adanya aturan yang melindungi hak-hak individu</w:t>
      </w:r>
    </w:p>
    <w:p w14:paraId="31DBEA02">
      <w:pPr>
        <w:numPr>
          <w:ilvl w:val="0"/>
          <w:numId w:val="1"/>
        </w:numPr>
        <w:spacing w:after="0" w:line="480" w:lineRule="auto"/>
        <w:ind w:left="567"/>
        <w:jc w:val="both"/>
        <w:rPr>
          <w:rFonts w:ascii="Times New Roman" w:hAnsi="Times New Roman"/>
          <w:sz w:val="24"/>
          <w:szCs w:val="24"/>
        </w:rPr>
      </w:pPr>
      <w:r>
        <w:rPr>
          <w:rFonts w:ascii="Times New Roman" w:hAnsi="Times New Roman"/>
          <w:sz w:val="24"/>
          <w:szCs w:val="24"/>
        </w:rPr>
        <w:t>Adanya penegak hukum yang menjalankan aturan tersebut</w:t>
      </w:r>
    </w:p>
    <w:p w14:paraId="1D3AA188">
      <w:pPr>
        <w:numPr>
          <w:ilvl w:val="0"/>
          <w:numId w:val="1"/>
        </w:numPr>
        <w:spacing w:after="0" w:line="480" w:lineRule="auto"/>
        <w:ind w:left="567"/>
        <w:jc w:val="both"/>
        <w:rPr>
          <w:rFonts w:ascii="Times New Roman" w:hAnsi="Times New Roman"/>
          <w:sz w:val="24"/>
          <w:szCs w:val="24"/>
        </w:rPr>
      </w:pPr>
      <w:r>
        <w:rPr>
          <w:rFonts w:ascii="Times New Roman" w:hAnsi="Times New Roman"/>
          <w:sz w:val="24"/>
          <w:szCs w:val="24"/>
        </w:rPr>
        <w:t>Tersedianya sanksi bagi pelanggar hukum</w:t>
      </w:r>
    </w:p>
    <w:p w14:paraId="16474BCA">
      <w:pPr>
        <w:pStyle w:val="4"/>
      </w:pPr>
      <w:bookmarkStart w:id="4" w:name="_Toc199782226"/>
      <w:r>
        <w:t>2.1.2 Undang-Undang Nomor 22 Tahun 2009</w:t>
      </w:r>
      <w:bookmarkEnd w:id="4"/>
    </w:p>
    <w:p w14:paraId="4D0AE41B">
      <w:pPr>
        <w:spacing w:after="0" w:line="480" w:lineRule="auto"/>
        <w:ind w:firstLine="567"/>
        <w:jc w:val="both"/>
        <w:rPr>
          <w:rFonts w:ascii="Times New Roman" w:hAnsi="Times New Roman"/>
          <w:sz w:val="24"/>
          <w:szCs w:val="24"/>
        </w:rPr>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2268" w:header="709" w:footer="709" w:gutter="0"/>
          <w:pgNumType w:start="8"/>
          <w:cols w:space="708" w:num="1"/>
          <w:docGrid w:linePitch="360" w:charSpace="0"/>
        </w:sectPr>
      </w:pPr>
      <w:r>
        <w:rPr>
          <w:rFonts w:ascii="Times New Roman" w:hAnsi="Times New Roman"/>
          <w:sz w:val="24"/>
          <w:szCs w:val="24"/>
        </w:rPr>
        <w:t>Undang-undang</w:t>
      </w:r>
      <w:r>
        <w:rPr>
          <w:rFonts w:ascii="Times New Roman" w:hAnsi="Times New Roman"/>
          <w:b/>
          <w:bCs/>
          <w:sz w:val="24"/>
          <w:szCs w:val="24"/>
        </w:rPr>
        <w:t xml:space="preserve"> </w:t>
      </w:r>
      <w:r>
        <w:rPr>
          <w:rFonts w:ascii="Times New Roman" w:hAnsi="Times New Roman"/>
          <w:sz w:val="24"/>
          <w:szCs w:val="24"/>
        </w:rPr>
        <w:t xml:space="preserve">nomor 22 tahun 2009 tentang lalu lintas dan angkutan jalan merupakan peraturan hukum di Indonesia yang bertujuan untuk menciptakan lalu lintas yang aman, tertip,dan efesien. Undang-undang ini mencakup berbagai aspek, terrmasuk keselamatan berkendara, pengaturan lalu lintas, tanggung jawab pengguna jalan, dan penegakan hukum terkait pelanggaran lalu lintas. Dalam undang-undang ini, terdapat ketentuan mengenai kewajiban pengendara, seperti memiliki surat ijin mengemudi (SIM) yang sah,mematuhi rambu-rambu lalu lintas, serta penggunaan perlengkapan keamanan seperti helm dan sebuk </w:t>
      </w:r>
    </w:p>
    <w:p w14:paraId="544C9524">
      <w:pPr>
        <w:spacing w:after="0" w:line="480" w:lineRule="auto"/>
        <w:jc w:val="both"/>
        <w:rPr>
          <w:rFonts w:ascii="Times New Roman" w:hAnsi="Times New Roman"/>
          <w:sz w:val="24"/>
          <w:szCs w:val="24"/>
        </w:rPr>
      </w:pPr>
      <w:r>
        <w:rPr>
          <w:rFonts w:ascii="Times New Roman" w:hAnsi="Times New Roman"/>
          <w:sz w:val="24"/>
          <w:szCs w:val="24"/>
        </w:rPr>
        <w:t>pengaman. Selain itu, undang-undang ini meberikan kerangka kerja bagi pihak yang berwenang untuk melaksanakan pengawasan dan pengadilan lalu lintas, sehingga dapat mengurangi angka kecelakaan dan meningkatkan kesadaran hukum Masyarakat dalam  berlalu lintas.</w:t>
      </w:r>
    </w:p>
    <w:p w14:paraId="1E77F1BC">
      <w:pPr>
        <w:pStyle w:val="4"/>
      </w:pPr>
      <w:bookmarkStart w:id="5" w:name="_Toc199782227"/>
      <w:r>
        <w:t>2.1.3 Kesadaran Pengendara</w:t>
      </w:r>
      <w:bookmarkEnd w:id="5"/>
    </w:p>
    <w:p w14:paraId="30489965">
      <w:pPr>
        <w:spacing w:after="0" w:line="480" w:lineRule="auto"/>
        <w:ind w:firstLine="567"/>
        <w:jc w:val="both"/>
        <w:rPr>
          <w:rFonts w:ascii="Times New Roman" w:hAnsi="Times New Roman"/>
          <w:sz w:val="24"/>
          <w:szCs w:val="24"/>
        </w:rPr>
      </w:pPr>
      <w:r>
        <w:rPr>
          <w:rFonts w:ascii="Times New Roman" w:hAnsi="Times New Roman"/>
          <w:sz w:val="24"/>
          <w:szCs w:val="24"/>
        </w:rPr>
        <w:t>Kesadaran pengendara merupakan sikap dan perilaku yang menujukkan kepatuhan terhadap aturan lalu  lintas. Kesadaran ini sangat penting untuk mengurangi angka kecelakaan dan menciptakan lingkungan berkendara yang aman. Faktor-faktor yang mempengaruhi kesadaran pengendara antara lain Pendidikan, pengalaman berkendara, serta pemahaman terhadap resiko yang ada dijalan raya. Namun kesadaran Masyarakat dalam  lalu lintas sangatlah minim, meskipun dalam penegakan hukum terhadap pelanggaran kendaraan bermotor di jalan raya sudah ada berdasarkan undang-undang nomor 22 tahun 2009 tentang lalu lintas dan angkutan jalan.</w:t>
      </w:r>
    </w:p>
    <w:p w14:paraId="1B800D70">
      <w:pPr>
        <w:spacing w:after="0" w:line="480" w:lineRule="auto"/>
        <w:ind w:firstLine="567"/>
        <w:jc w:val="both"/>
        <w:rPr>
          <w:rFonts w:ascii="Times New Roman" w:hAnsi="Times New Roman"/>
          <w:sz w:val="24"/>
          <w:szCs w:val="24"/>
        </w:rPr>
      </w:pPr>
      <w:r>
        <w:rPr>
          <w:rFonts w:ascii="Times New Roman" w:hAnsi="Times New Roman"/>
          <w:sz w:val="24"/>
          <w:szCs w:val="24"/>
        </w:rPr>
        <w:t xml:space="preserve">Menurut Reasoned Acttion (Ajzen &amp; Fishbean, 1980), perilaku manusia,termasuk dalam kontesk berlalu lintas, dipengaruhi oleh niat (intention), yang terbentuk dari sikap individu terhadap perilaku tersebut dan norma sosial yang berlaku. Artinya, kesadaran berlalu lintas dapat ditingkatkan melalui pendidikan, pengawasan, dan pembentukan budaya tertib di Masyarakat.    </w:t>
      </w:r>
    </w:p>
    <w:p w14:paraId="312DFDF0">
      <w:pPr>
        <w:pStyle w:val="4"/>
      </w:pPr>
      <w:bookmarkStart w:id="6" w:name="_Toc199782228"/>
      <w:r>
        <w:t>2.1.3 Defenisi Hukum Dalam Berlalu Lintas</w:t>
      </w:r>
      <w:bookmarkEnd w:id="6"/>
    </w:p>
    <w:p w14:paraId="45B123F2">
      <w:pPr>
        <w:spacing w:after="0" w:line="480" w:lineRule="auto"/>
        <w:ind w:firstLine="567"/>
        <w:jc w:val="both"/>
        <w:rPr>
          <w:rFonts w:ascii="Times New Roman" w:hAnsi="Times New Roman"/>
          <w:sz w:val="24"/>
          <w:szCs w:val="24"/>
        </w:rPr>
      </w:pPr>
      <w:r>
        <w:rPr>
          <w:rFonts w:ascii="Times New Roman" w:hAnsi="Times New Roman"/>
          <w:sz w:val="24"/>
          <w:szCs w:val="24"/>
        </w:rPr>
        <w:t xml:space="preserve">Defenisi berlalu lintas menurut UU lalu lintas angkutan jalan 2009 N0 22 yakni lalu lintas ialah pergerakan kendaraan dan manusia di ruang lalu lintas. Ruang lalu lintas jalan adalahh prasarana untuk bergerak serta berpindah bagi kendaraan, apapun barang dengan fasilitas pendukung. Sedangkan pendapat lalu lintas adalah apapun yang berkaitan dengan sarana jalan umum sebagai sarana pokok yang memiliki tujuan. Lalu lintas juga </w:t>
      </w:r>
      <w:r>
        <w:rPr>
          <w:rFonts w:ascii="Times New Roman" w:hAnsi="Times New Roman"/>
          <w:sz w:val="24"/>
          <w:szCs w:val="24"/>
          <w:lang w:val="id-ID"/>
        </w:rPr>
        <w:t>didefinisikan</w:t>
      </w:r>
      <w:r>
        <w:rPr>
          <w:rFonts w:ascii="Times New Roman" w:hAnsi="Times New Roman"/>
          <w:sz w:val="24"/>
          <w:szCs w:val="24"/>
        </w:rPr>
        <w:t xml:space="preserve"> sebagai keterkaitan manusia yang disertai atau tidak disertai dengan alat untuk berpindah tempat melalui penggunaan jalan raya. (Nurfauziah &amp; Krisnasari, 2021). </w:t>
      </w:r>
    </w:p>
    <w:p w14:paraId="7F45DFEC">
      <w:pPr>
        <w:spacing w:after="0" w:line="480" w:lineRule="auto"/>
        <w:ind w:firstLine="567"/>
        <w:jc w:val="both"/>
        <w:rPr>
          <w:rFonts w:ascii="Times New Roman" w:hAnsi="Times New Roman"/>
          <w:sz w:val="24"/>
          <w:szCs w:val="24"/>
        </w:rPr>
      </w:pPr>
      <w:r>
        <w:rPr>
          <w:rFonts w:ascii="Times New Roman" w:hAnsi="Times New Roman"/>
          <w:sz w:val="24"/>
          <w:szCs w:val="24"/>
        </w:rPr>
        <w:t xml:space="preserve">Defenisi lalu lintas juga didefinisikan bahwasanya pelanggaran lalu lintas ialah sebuah perbuatan yang dilaksanakan seseorang yang mengedarai kendaraan umum maupun bermotor termasuk penjalan kaki yang berlawanan dengan Undang-Undang  lalu lintas (Sarry &amp; Widodoh, 2017) </w:t>
      </w:r>
    </w:p>
    <w:p w14:paraId="532B0D6A">
      <w:pPr>
        <w:spacing w:after="0" w:line="480" w:lineRule="auto"/>
        <w:ind w:firstLine="567"/>
        <w:jc w:val="both"/>
        <w:rPr>
          <w:rFonts w:ascii="Times New Roman" w:hAnsi="Times New Roman"/>
          <w:sz w:val="24"/>
          <w:szCs w:val="24"/>
        </w:rPr>
      </w:pPr>
      <w:r>
        <w:rPr>
          <w:rFonts w:ascii="Times New Roman" w:hAnsi="Times New Roman"/>
          <w:sz w:val="24"/>
          <w:szCs w:val="24"/>
        </w:rPr>
        <w:t xml:space="preserve">Berdasarkan berbagai pendapat dapat disimpiulkan bahwa lalu lintas ialah perjalanan dari satu tempat  ke tempat yang lain, khususnya di jalan raya, perihal tersebut mencakup pergerakan orang, kendaraan, atau barang ataupun tanpa penggunaan trasportasi. </w:t>
      </w:r>
    </w:p>
    <w:p w14:paraId="1BCC9575">
      <w:pPr>
        <w:spacing w:after="0" w:line="480" w:lineRule="auto"/>
        <w:ind w:firstLine="567"/>
        <w:jc w:val="both"/>
        <w:rPr>
          <w:rFonts w:ascii="Times New Roman" w:hAnsi="Times New Roman"/>
          <w:sz w:val="24"/>
          <w:szCs w:val="24"/>
        </w:rPr>
      </w:pPr>
      <w:r>
        <w:rPr>
          <w:rFonts w:ascii="Times New Roman" w:hAnsi="Times New Roman"/>
          <w:sz w:val="24"/>
          <w:szCs w:val="24"/>
        </w:rPr>
        <w:t xml:space="preserve">Kesadaran berlalu lintas mengacu pada pemahaman, sikap, dan perilaku individu dalam mengetahui aturan lalu lintas demi menjaga keselamatan diri dan orang lain. Referensi terkait, kesadaran berlalu lintas melibatkan tiga aspek: </w:t>
      </w:r>
    </w:p>
    <w:p w14:paraId="0EAA7012">
      <w:pPr>
        <w:numPr>
          <w:ilvl w:val="0"/>
          <w:numId w:val="2"/>
        </w:numPr>
        <w:spacing w:after="0" w:line="480" w:lineRule="auto"/>
        <w:ind w:left="426"/>
        <w:jc w:val="both"/>
        <w:rPr>
          <w:rFonts w:ascii="Times New Roman" w:hAnsi="Times New Roman"/>
          <w:sz w:val="24"/>
          <w:szCs w:val="24"/>
        </w:rPr>
      </w:pPr>
      <w:r>
        <w:rPr>
          <w:rFonts w:ascii="Times New Roman" w:hAnsi="Times New Roman"/>
          <w:sz w:val="24"/>
          <w:szCs w:val="24"/>
        </w:rPr>
        <w:t>Kognitif : pemahaman terhadap peraturan dan rambu lalu lintas</w:t>
      </w:r>
    </w:p>
    <w:p w14:paraId="3A283220">
      <w:pPr>
        <w:numPr>
          <w:ilvl w:val="0"/>
          <w:numId w:val="2"/>
        </w:numPr>
        <w:spacing w:after="0" w:line="480" w:lineRule="auto"/>
        <w:ind w:left="426"/>
        <w:jc w:val="both"/>
        <w:rPr>
          <w:rFonts w:ascii="Times New Roman" w:hAnsi="Times New Roman"/>
          <w:sz w:val="24"/>
          <w:szCs w:val="24"/>
        </w:rPr>
      </w:pPr>
      <w:r>
        <w:rPr>
          <w:rFonts w:ascii="Times New Roman" w:hAnsi="Times New Roman"/>
          <w:sz w:val="24"/>
          <w:szCs w:val="24"/>
        </w:rPr>
        <w:t xml:space="preserve">Efektif : komitmen untuk mematuhi aturan demi keselamatan bersama. </w:t>
      </w:r>
    </w:p>
    <w:p w14:paraId="5F514D50">
      <w:pPr>
        <w:numPr>
          <w:ilvl w:val="0"/>
          <w:numId w:val="2"/>
        </w:numPr>
        <w:spacing w:after="0" w:line="480" w:lineRule="auto"/>
        <w:ind w:left="426"/>
        <w:jc w:val="both"/>
        <w:rPr>
          <w:rFonts w:ascii="Times New Roman" w:hAnsi="Times New Roman"/>
          <w:sz w:val="24"/>
          <w:szCs w:val="24"/>
        </w:rPr>
      </w:pPr>
      <w:r>
        <w:rPr>
          <w:rFonts w:ascii="Times New Roman" w:hAnsi="Times New Roman"/>
          <w:sz w:val="24"/>
          <w:szCs w:val="24"/>
        </w:rPr>
        <w:t>Psikomotorik : aksi nyata dalam berlalu lintas, seperti berhenti di lampu merah , tidak melanggar mareka jalan, dan menggunakan alat keselamatan berkendara.</w:t>
      </w:r>
    </w:p>
    <w:p w14:paraId="06264DCA">
      <w:pPr>
        <w:spacing w:after="0" w:line="480" w:lineRule="auto"/>
        <w:ind w:firstLine="567"/>
        <w:jc w:val="both"/>
        <w:rPr>
          <w:rFonts w:ascii="Times New Roman" w:hAnsi="Times New Roman"/>
          <w:sz w:val="24"/>
          <w:szCs w:val="24"/>
        </w:rPr>
      </w:pPr>
      <w:r>
        <w:rPr>
          <w:rFonts w:ascii="Times New Roman" w:hAnsi="Times New Roman"/>
          <w:sz w:val="24"/>
          <w:szCs w:val="24"/>
        </w:rPr>
        <w:t xml:space="preserve">Kesadaran berlalu lintas sengat pentimg untuk menekan angka kecelakaan di jalan raya. Berdasarkan data korlantas  polri tahun 2023, Sebagian besar kecelakaan lalu lintas disebabkan oleh pelanggaran aturan oleh pengendara. </w:t>
      </w:r>
    </w:p>
    <w:p w14:paraId="3C128DBB">
      <w:pPr>
        <w:pStyle w:val="4"/>
      </w:pPr>
      <w:bookmarkStart w:id="7" w:name="_Toc199782229"/>
      <w:r>
        <w:t>2.1.4 Perlindungan Hukum Dalam Berlalu Lintas</w:t>
      </w:r>
      <w:bookmarkEnd w:id="7"/>
    </w:p>
    <w:p w14:paraId="42F9A285">
      <w:pPr>
        <w:spacing w:after="0" w:line="480" w:lineRule="auto"/>
        <w:ind w:firstLine="567"/>
        <w:jc w:val="both"/>
        <w:rPr>
          <w:rFonts w:ascii="Times New Roman" w:hAnsi="Times New Roman"/>
          <w:sz w:val="24"/>
          <w:szCs w:val="24"/>
        </w:rPr>
      </w:pPr>
      <w:r>
        <w:rPr>
          <w:rFonts w:ascii="Times New Roman" w:hAnsi="Times New Roman"/>
          <w:sz w:val="24"/>
          <w:szCs w:val="24"/>
        </w:rPr>
        <w:t xml:space="preserve">Perlindungan hukum adalah serangkain aturan dan ketentuan yang dibuat untuk menjamin keselamatan, keamanan, dan kenyamanan para pengguna jalan. Perlindungan ini bertujuan untuk mencegah terjadinya kecelakaan, memastikan kepatuhan terhadap peraturan lalu lintas.,dan memastikan hak-hak pengendara serta pejalan kaki. Dalam konteks lalu lintas, pelindungan hukum bertujuan: </w:t>
      </w:r>
    </w:p>
    <w:p w14:paraId="252B474E">
      <w:pPr>
        <w:numPr>
          <w:ilvl w:val="0"/>
          <w:numId w:val="3"/>
        </w:numPr>
        <w:spacing w:after="0" w:line="480" w:lineRule="auto"/>
        <w:ind w:left="426"/>
        <w:jc w:val="both"/>
        <w:rPr>
          <w:rFonts w:ascii="Times New Roman" w:hAnsi="Times New Roman"/>
          <w:sz w:val="24"/>
          <w:szCs w:val="24"/>
        </w:rPr>
      </w:pPr>
      <w:r>
        <w:rPr>
          <w:rFonts w:ascii="Times New Roman" w:hAnsi="Times New Roman"/>
          <w:sz w:val="24"/>
          <w:szCs w:val="24"/>
        </w:rPr>
        <w:t xml:space="preserve">Menjamin keselamatan pengguna jalan </w:t>
      </w:r>
    </w:p>
    <w:p w14:paraId="5E956D14">
      <w:pPr>
        <w:numPr>
          <w:ilvl w:val="0"/>
          <w:numId w:val="3"/>
        </w:numPr>
        <w:spacing w:after="0" w:line="480" w:lineRule="auto"/>
        <w:ind w:left="426"/>
        <w:jc w:val="both"/>
        <w:rPr>
          <w:rFonts w:ascii="Times New Roman" w:hAnsi="Times New Roman"/>
          <w:sz w:val="24"/>
          <w:szCs w:val="24"/>
        </w:rPr>
      </w:pPr>
      <w:r>
        <w:rPr>
          <w:rFonts w:ascii="Times New Roman" w:hAnsi="Times New Roman"/>
          <w:sz w:val="24"/>
          <w:szCs w:val="24"/>
        </w:rPr>
        <w:t xml:space="preserve">Memberikan sanksi kepada pelanggar aturan </w:t>
      </w:r>
    </w:p>
    <w:p w14:paraId="2D0B144F">
      <w:pPr>
        <w:numPr>
          <w:ilvl w:val="0"/>
          <w:numId w:val="3"/>
        </w:numPr>
        <w:spacing w:after="0" w:line="480" w:lineRule="auto"/>
        <w:ind w:left="426"/>
        <w:jc w:val="both"/>
        <w:rPr>
          <w:rFonts w:ascii="Times New Roman" w:hAnsi="Times New Roman"/>
          <w:sz w:val="24"/>
          <w:szCs w:val="24"/>
        </w:rPr>
      </w:pPr>
      <w:r>
        <w:rPr>
          <w:rFonts w:ascii="Times New Roman" w:hAnsi="Times New Roman"/>
          <w:sz w:val="24"/>
          <w:szCs w:val="24"/>
        </w:rPr>
        <w:t>Meningkatkan kesadaran Masyarakat untuk berlalu lintas sesuai peraturan</w:t>
      </w:r>
    </w:p>
    <w:p w14:paraId="379BD1C4">
      <w:pPr>
        <w:spacing w:after="0" w:line="480" w:lineRule="auto"/>
        <w:ind w:firstLine="426"/>
        <w:jc w:val="both"/>
        <w:rPr>
          <w:rFonts w:ascii="Times New Roman" w:hAnsi="Times New Roman"/>
          <w:sz w:val="24"/>
          <w:szCs w:val="24"/>
        </w:rPr>
      </w:pPr>
      <w:r>
        <w:rPr>
          <w:rFonts w:ascii="Times New Roman" w:hAnsi="Times New Roman"/>
          <w:sz w:val="24"/>
          <w:szCs w:val="24"/>
        </w:rPr>
        <w:t xml:space="preserve">Dengan adanya perlindungan hukum dalam berlalu lintas maka adanya Upaya yang terus-menerus dilakukan untuk menciptakan lingkungan berkendara aman dan tertib. Dengan adanya hukum yang jelas dan penegakan yang konsisten, diharapkan dapat mengurangi angka kecelakan dan meningkatkan kesadaran serta kepatuhan Masyarakat terhadap arutan lalu lintas. </w:t>
      </w:r>
    </w:p>
    <w:p w14:paraId="59B86AFC">
      <w:pPr>
        <w:pStyle w:val="4"/>
      </w:pPr>
      <w:bookmarkStart w:id="8" w:name="_Toc199782230"/>
      <w:r>
        <w:t>2.1.5 Pendidikan Berlalu Lintas Dalam Konteks PJKR</w:t>
      </w:r>
      <w:bookmarkEnd w:id="8"/>
      <w:r>
        <w:t xml:space="preserve"> </w:t>
      </w:r>
    </w:p>
    <w:p w14:paraId="5BF02892">
      <w:pPr>
        <w:spacing w:after="0" w:line="480" w:lineRule="auto"/>
        <w:ind w:firstLine="567"/>
        <w:jc w:val="both"/>
        <w:rPr>
          <w:rFonts w:ascii="Times New Roman" w:hAnsi="Times New Roman"/>
          <w:sz w:val="24"/>
          <w:szCs w:val="24"/>
        </w:rPr>
      </w:pPr>
      <w:r>
        <w:rPr>
          <w:rFonts w:ascii="Times New Roman" w:hAnsi="Times New Roman"/>
          <w:sz w:val="24"/>
          <w:szCs w:val="24"/>
        </w:rPr>
        <w:t xml:space="preserve">Dalam jurusan pjkr Pendidikan jasmani, Kesehatan, dan rekreasi (PJKR) diintegrasikan sebagai bagian dari program pembelajaran yang bertujuan untuk membangun karakter dan budaya keselamatan. Pendidikan berlalu lintas bertujuan untuk: </w:t>
      </w:r>
    </w:p>
    <w:p w14:paraId="1D17993D">
      <w:pPr>
        <w:numPr>
          <w:ilvl w:val="0"/>
          <w:numId w:val="4"/>
        </w:numPr>
        <w:spacing w:after="0" w:line="480" w:lineRule="auto"/>
        <w:ind w:left="426"/>
        <w:jc w:val="both"/>
        <w:rPr>
          <w:rFonts w:ascii="Times New Roman" w:hAnsi="Times New Roman"/>
          <w:sz w:val="24"/>
          <w:szCs w:val="24"/>
        </w:rPr>
      </w:pPr>
      <w:r>
        <w:rPr>
          <w:rFonts w:ascii="Times New Roman" w:hAnsi="Times New Roman"/>
          <w:sz w:val="24"/>
          <w:szCs w:val="24"/>
        </w:rPr>
        <w:t xml:space="preserve">Meningkatkan pemahaman mahasiswa tentang pentingnya keselamatan berlalu lintas </w:t>
      </w:r>
    </w:p>
    <w:p w14:paraId="3E644C7B">
      <w:pPr>
        <w:numPr>
          <w:ilvl w:val="0"/>
          <w:numId w:val="4"/>
        </w:numPr>
        <w:spacing w:after="0" w:line="480" w:lineRule="auto"/>
        <w:ind w:left="426"/>
        <w:jc w:val="both"/>
        <w:rPr>
          <w:rFonts w:ascii="Times New Roman" w:hAnsi="Times New Roman"/>
          <w:sz w:val="24"/>
          <w:szCs w:val="24"/>
        </w:rPr>
      </w:pPr>
      <w:r>
        <w:rPr>
          <w:rFonts w:ascii="Times New Roman" w:hAnsi="Times New Roman"/>
          <w:sz w:val="24"/>
          <w:szCs w:val="24"/>
        </w:rPr>
        <w:t>Membentuk sikap displin dan bertangung jawab dalam menggunakan jalan raya</w:t>
      </w:r>
    </w:p>
    <w:p w14:paraId="24401249">
      <w:pPr>
        <w:numPr>
          <w:ilvl w:val="0"/>
          <w:numId w:val="4"/>
        </w:numPr>
        <w:spacing w:after="0" w:line="480" w:lineRule="auto"/>
        <w:ind w:left="426"/>
        <w:jc w:val="both"/>
        <w:rPr>
          <w:rFonts w:ascii="Times New Roman" w:hAnsi="Times New Roman"/>
          <w:sz w:val="24"/>
          <w:szCs w:val="24"/>
        </w:rPr>
      </w:pPr>
      <w:r>
        <w:rPr>
          <w:rFonts w:ascii="Times New Roman" w:hAnsi="Times New Roman"/>
          <w:sz w:val="24"/>
          <w:szCs w:val="24"/>
        </w:rPr>
        <w:t xml:space="preserve">Menjadikan mahasiswa sebagai agen perubahan yang dapat menyosialisasikan pentingnya keselamatan berlalu lintas kepada Masyarakat, khususnya siswa sekolah. </w:t>
      </w:r>
    </w:p>
    <w:p w14:paraId="23C6D60B">
      <w:pPr>
        <w:spacing w:after="0" w:line="480" w:lineRule="auto"/>
        <w:jc w:val="both"/>
        <w:rPr>
          <w:rFonts w:ascii="Times New Roman" w:hAnsi="Times New Roman"/>
          <w:sz w:val="24"/>
          <w:szCs w:val="24"/>
        </w:rPr>
      </w:pPr>
      <w:r>
        <w:rPr>
          <w:rFonts w:ascii="Times New Roman" w:hAnsi="Times New Roman"/>
          <w:sz w:val="24"/>
          <w:szCs w:val="24"/>
        </w:rPr>
        <w:t xml:space="preserve"> </w:t>
      </w:r>
    </w:p>
    <w:p w14:paraId="31028159">
      <w:pPr>
        <w:pStyle w:val="3"/>
      </w:pPr>
      <w:bookmarkStart w:id="9" w:name="_Toc199782231"/>
      <w:r>
        <w:t>2.2 Penelitan Yang Relevan</w:t>
      </w:r>
      <w:bookmarkEnd w:id="9"/>
      <w:r>
        <w:t xml:space="preserve"> </w:t>
      </w:r>
    </w:p>
    <w:p w14:paraId="77B772E2">
      <w:pPr>
        <w:spacing w:after="0" w:line="480" w:lineRule="auto"/>
        <w:ind w:firstLine="426"/>
        <w:jc w:val="both"/>
        <w:rPr>
          <w:rFonts w:ascii="Times New Roman" w:hAnsi="Times New Roman"/>
          <w:sz w:val="24"/>
          <w:szCs w:val="24"/>
        </w:rPr>
      </w:pPr>
      <w:r>
        <w:rPr>
          <w:rFonts w:ascii="Times New Roman" w:hAnsi="Times New Roman"/>
          <w:sz w:val="24"/>
          <w:szCs w:val="24"/>
        </w:rPr>
        <w:t xml:space="preserve">Hasil penelitian yang berjudul: analisis perlindungan hukum terhadap kesadaran pengendara dalam berlalu lintas di jalan raya menurut Undang-Undang No 22 tahun 2009 di jurusan PJKR Universitas Pembinaan Masyarakt indinesia. </w:t>
      </w:r>
    </w:p>
    <w:p w14:paraId="0877D91F">
      <w:pPr>
        <w:spacing w:after="0" w:line="480" w:lineRule="auto"/>
        <w:jc w:val="both"/>
        <w:rPr>
          <w:rFonts w:ascii="Times New Roman" w:hAnsi="Times New Roman"/>
          <w:sz w:val="24"/>
          <w:szCs w:val="24"/>
        </w:rPr>
      </w:pPr>
      <w:r>
        <w:rPr>
          <w:rFonts w:ascii="Times New Roman" w:hAnsi="Times New Roman"/>
          <w:sz w:val="24"/>
          <w:szCs w:val="24"/>
        </w:rPr>
        <w:t xml:space="preserve">Penelitian ini berkaitan dengan tingkat pemahaman Masyarakat terhadap aturan hukum berlalu lintas, khusus yang diatur dalam Undang-Undang Nomor 22 tahun 2009.  Defenisi hukum dalam konteks beralu lintas, kesadaran hukum adalah  sejauh mana pengendara memahami hak dan kewajiban di jalan raya, serta mengenal sanksi atas pelanggaran. </w:t>
      </w:r>
    </w:p>
    <w:p w14:paraId="3D30D6C4">
      <w:pPr>
        <w:numPr>
          <w:ilvl w:val="0"/>
          <w:numId w:val="5"/>
        </w:numPr>
        <w:spacing w:after="0" w:line="480" w:lineRule="auto"/>
        <w:ind w:left="426"/>
        <w:jc w:val="both"/>
        <w:rPr>
          <w:rFonts w:ascii="Times New Roman" w:hAnsi="Times New Roman"/>
          <w:sz w:val="24"/>
          <w:szCs w:val="24"/>
        </w:rPr>
      </w:pPr>
      <w:r>
        <w:rPr>
          <w:rFonts w:ascii="Times New Roman" w:hAnsi="Times New Roman"/>
          <w:sz w:val="24"/>
          <w:szCs w:val="24"/>
        </w:rPr>
        <w:t xml:space="preserve">Pengetahuan Masyarakat tentang aturan seperti penggunaan helm, sabuk pengaman, rambu lalu lintas, dan tata cara berkendara yang aman </w:t>
      </w:r>
    </w:p>
    <w:p w14:paraId="1346D55A">
      <w:pPr>
        <w:numPr>
          <w:ilvl w:val="0"/>
          <w:numId w:val="5"/>
        </w:numPr>
        <w:spacing w:after="0" w:line="480" w:lineRule="auto"/>
        <w:ind w:left="426"/>
        <w:jc w:val="both"/>
        <w:rPr>
          <w:rFonts w:ascii="Times New Roman" w:hAnsi="Times New Roman"/>
          <w:sz w:val="24"/>
          <w:szCs w:val="24"/>
        </w:rPr>
      </w:pPr>
      <w:r>
        <w:rPr>
          <w:rFonts w:ascii="Times New Roman" w:hAnsi="Times New Roman"/>
          <w:sz w:val="24"/>
          <w:szCs w:val="24"/>
        </w:rPr>
        <w:t xml:space="preserve">Tingkat kepatuhan terhadap aturan, misalnya dalam mengikuti lampu lalu lintas atau mematuhi batas kecepatan </w:t>
      </w:r>
    </w:p>
    <w:p w14:paraId="361490B6">
      <w:pPr>
        <w:spacing w:after="0" w:line="480" w:lineRule="auto"/>
        <w:ind w:firstLine="426"/>
        <w:jc w:val="both"/>
        <w:rPr>
          <w:rFonts w:ascii="Times New Roman" w:hAnsi="Times New Roman"/>
          <w:sz w:val="24"/>
          <w:szCs w:val="24"/>
        </w:rPr>
      </w:pPr>
      <w:r>
        <w:rPr>
          <w:rFonts w:ascii="Times New Roman" w:hAnsi="Times New Roman"/>
          <w:sz w:val="24"/>
          <w:szCs w:val="24"/>
        </w:rPr>
        <w:t>Penelitian oleh Andriani (2021). Meneliti tentang pengaruh Pendidikan lalu lintas terhadap perilaku pengendara. Penelitian ini menujukkan bahwa Pendidikan yang baik dapat meningkatkan kesadaran dan kepatuhan pengendara terhadap peraturan lalu lintas.</w:t>
      </w:r>
    </w:p>
    <w:p w14:paraId="62A52B06">
      <w:pPr>
        <w:spacing w:after="0" w:line="480" w:lineRule="auto"/>
        <w:ind w:firstLine="426"/>
        <w:jc w:val="both"/>
        <w:rPr>
          <w:rFonts w:ascii="Times New Roman" w:hAnsi="Times New Roman"/>
          <w:sz w:val="24"/>
          <w:szCs w:val="24"/>
        </w:rPr>
      </w:pPr>
      <w:r>
        <w:rPr>
          <w:rFonts w:ascii="Times New Roman" w:hAnsi="Times New Roman"/>
          <w:sz w:val="24"/>
          <w:szCs w:val="24"/>
        </w:rPr>
        <w:t xml:space="preserve">Penelitian oleh Lestari (2022), membahas peran media dalam meningkatkan kesadaran berlalu lintas, penelitian ini menujukkan bahwa kampenye melalui media sosial efektif dalam menyebarluaskan informasi dan meningkatkan kesadaran Masyarakat. </w:t>
      </w:r>
    </w:p>
    <w:p w14:paraId="5E3195ED">
      <w:pPr>
        <w:spacing w:after="0" w:line="480" w:lineRule="auto"/>
        <w:jc w:val="both"/>
        <w:rPr>
          <w:rFonts w:ascii="Times New Roman" w:hAnsi="Times New Roman"/>
          <w:sz w:val="24"/>
          <w:szCs w:val="24"/>
        </w:rPr>
      </w:pPr>
    </w:p>
    <w:p w14:paraId="7C422364">
      <w:pPr>
        <w:pStyle w:val="3"/>
      </w:pPr>
      <w:bookmarkStart w:id="10" w:name="_Toc199782232"/>
      <w:r>
        <w:t>2.3 Kerangka Berfikir Penelitian</w:t>
      </w:r>
      <w:bookmarkEnd w:id="10"/>
    </w:p>
    <w:p w14:paraId="3B5402AC">
      <w:pPr>
        <w:spacing w:after="0" w:line="480" w:lineRule="auto"/>
        <w:ind w:firstLine="426"/>
        <w:jc w:val="both"/>
        <w:rPr>
          <w:rFonts w:ascii="Times New Roman" w:hAnsi="Times New Roman"/>
          <w:sz w:val="24"/>
          <w:szCs w:val="24"/>
        </w:rPr>
      </w:pPr>
      <w:r>
        <w:rPr>
          <w:rFonts w:ascii="Times New Roman" w:hAnsi="Times New Roman"/>
          <w:sz w:val="24"/>
          <w:szCs w:val="24"/>
        </w:rPr>
        <w:t xml:space="preserve">Menurut Kerlinger (1986), kerangka berpikir adalah model konseptual dari bagaimana teori berhubungan dengan berbagai faktor yang telah diidentifikasikan sebagai bagian penting dari masalah penelitian , kerangka berpikir membantu peneliti mengidentifikasikan hubungan antara variabel independan dan dependen, serta variabel-variabel perantara yang mungkin mempengaruhi hubungan tersebut. </w:t>
      </w:r>
    </w:p>
    <w:p w14:paraId="1632A66A">
      <w:pPr>
        <w:spacing w:after="0" w:line="480" w:lineRule="auto"/>
        <w:jc w:val="both"/>
        <w:rPr>
          <w:rFonts w:ascii="Times New Roman" w:hAnsi="Times New Roman"/>
          <w:b/>
          <w:sz w:val="24"/>
          <w:szCs w:val="24"/>
        </w:rPr>
      </w:pPr>
      <w:r>
        <w:rPr>
          <w:lang w:val="en-US"/>
        </w:rPr>
        <w:drawing>
          <wp:inline distT="0" distB="0" distL="0" distR="0">
            <wp:extent cx="4800600" cy="2947670"/>
            <wp:effectExtent l="0" t="0" r="0" b="2413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3575EA2">
      <w:pPr>
        <w:spacing w:after="0" w:line="480" w:lineRule="auto"/>
        <w:jc w:val="center"/>
        <w:rPr>
          <w:rFonts w:ascii="Times New Roman" w:hAnsi="Times New Roman"/>
          <w:b/>
          <w:sz w:val="24"/>
          <w:szCs w:val="24"/>
        </w:rPr>
      </w:pPr>
      <w:r>
        <w:rPr>
          <w:rFonts w:ascii="Times New Roman" w:hAnsi="Times New Roman"/>
          <w:b/>
          <w:sz w:val="24"/>
          <w:szCs w:val="24"/>
        </w:rPr>
        <w:t>Gambar 2.1 Kerangka Berpikir</w:t>
      </w:r>
    </w:p>
    <w:p w14:paraId="3C0CDBEA">
      <w:pPr>
        <w:pStyle w:val="3"/>
      </w:pPr>
      <w:bookmarkStart w:id="11" w:name="_Toc199782233"/>
      <w:r>
        <w:t>2.4 Hipotesis</w:t>
      </w:r>
      <w:bookmarkEnd w:id="11"/>
      <w:r>
        <w:t xml:space="preserve"> </w:t>
      </w:r>
    </w:p>
    <w:p w14:paraId="4EE26AE1">
      <w:pPr>
        <w:spacing w:after="0" w:line="480" w:lineRule="auto"/>
        <w:ind w:firstLine="426"/>
        <w:jc w:val="both"/>
        <w:rPr>
          <w:rFonts w:ascii="Times New Roman" w:hAnsi="Times New Roman"/>
          <w:sz w:val="24"/>
          <w:szCs w:val="24"/>
        </w:rPr>
      </w:pPr>
      <w:r>
        <w:rPr>
          <w:rFonts w:ascii="Times New Roman" w:hAnsi="Times New Roman"/>
          <w:sz w:val="24"/>
          <w:szCs w:val="24"/>
        </w:rPr>
        <w:t>Menurut Sugiyono (2017:95) hipotesis adalah jawaban sementara terhadap rumusan masalah penelitian, dimana rumusan masalah penelitian telah dinyatakan dalam bentuk kalimat pernyataan, dikatakan sementara  karena jawaban yang diberikannya berdasarkan pada teori relevan, belum didasarkan pada fakta-fakta empiris yang diperoleh melalui pengumpulan data. Berdasarkan pernyataan diatas maka hipotesis dalam penelitian ini adalah: mahasiswa jurusan pjkr upmi telah taat terhadap aturan berlalu lintas menurut undamg-undang nomosr 22 tahun 2009.</w:t>
      </w:r>
    </w:p>
    <w:p w14:paraId="6377ED9A"/>
    <w:sectPr>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F732E">
    <w:pPr>
      <w:pStyle w:val="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10</w:t>
    </w:r>
    <w:r>
      <w:rPr>
        <w:rFonts w:ascii="Times New Roman" w:hAnsi="Times New Roman"/>
        <w:sz w:val="24"/>
      </w:rPr>
      <w:fldChar w:fldCharType="end"/>
    </w:r>
  </w:p>
  <w:p w14:paraId="1EDDE29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A6A1D">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10F2A">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5502D">
    <w:pPr>
      <w:pStyle w:val="8"/>
      <w:rPr>
        <w:rFonts w:ascii="Times New Roman" w:hAnsi="Times New Roman"/>
        <w:sz w:val="24"/>
        <w:szCs w:val="24"/>
      </w:rPr>
    </w:pPr>
    <w:r>
      <w:rPr>
        <w:rFonts w:ascii="Times New Roman" w:hAnsi="Times New Roman"/>
        <w:sz w:val="24"/>
        <w:szCs w:val="24"/>
        <w:lang w:val="en-US"/>
      </w:rPr>
      <w:pict>
        <v:shape id="WordPictureWatermark25404764" o:spid="_x0000_s2051" o:spt="75" type="#_x0000_t75" style="position:absolute;left:0pt;height:436.2pt;width:451.1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74E1B">
    <w:pPr>
      <w:pStyle w:val="8"/>
    </w:pPr>
    <w:r>
      <w:rPr>
        <w:lang w:val="en-US"/>
      </w:rPr>
      <w:pict>
        <v:shape id="WordPictureWatermark25404763" o:spid="_x0000_s2050" o:spt="75" type="#_x0000_t75" style="position:absolute;left:0pt;height:436.2pt;width:451.1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E765F">
    <w:pPr>
      <w:pStyle w:val="8"/>
    </w:pPr>
    <w:r>
      <w:rPr>
        <w:lang w:val="en-US"/>
      </w:rPr>
      <w:pict>
        <v:shape id="WordPictureWatermark25404762" o:spid="_x0000_s2049" o:spt="75" type="#_x0000_t75" style="position:absolute;left:0pt;height:436.2pt;width:451.1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CD77F5"/>
    <w:multiLevelType w:val="multilevel"/>
    <w:tmpl w:val="07CD77F5"/>
    <w:lvl w:ilvl="0" w:tentative="0">
      <w:start w:val="1"/>
      <w:numFmt w:val="decimal"/>
      <w:lvlText w:val="%1."/>
      <w:lvlJc w:val="left"/>
      <w:pPr>
        <w:ind w:left="720" w:hanging="360"/>
      </w:pPr>
      <w:rPr>
        <w:rFonts w:hint="default" w:ascii="Times New Roman" w:hAnsi="Times New Roman" w:cs="Times New Roman"/>
      </w:rPr>
    </w:lvl>
    <w:lvl w:ilvl="1" w:tentative="0">
      <w:start w:val="2"/>
      <w:numFmt w:val="decimal"/>
      <w:isLgl/>
      <w:lvlText w:val="%1.%2"/>
      <w:lvlJc w:val="left"/>
      <w:pPr>
        <w:ind w:left="1440" w:hanging="360"/>
      </w:pPr>
      <w:rPr>
        <w:rFonts w:hint="default" w:ascii="Times New Roman" w:hAnsi="Times New Roman" w:cs="Times New Roman"/>
      </w:rPr>
    </w:lvl>
    <w:lvl w:ilvl="2" w:tentative="0">
      <w:start w:val="1"/>
      <w:numFmt w:val="decimal"/>
      <w:isLgl/>
      <w:lvlText w:val="%1.%2.%3"/>
      <w:lvlJc w:val="left"/>
      <w:pPr>
        <w:ind w:left="216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1">
    <w:nsid w:val="09006F10"/>
    <w:multiLevelType w:val="multilevel"/>
    <w:tmpl w:val="09006F10"/>
    <w:lvl w:ilvl="0" w:tentative="0">
      <w:start w:val="1"/>
      <w:numFmt w:val="decimal"/>
      <w:lvlText w:val="%1."/>
      <w:lvlJc w:val="left"/>
      <w:pPr>
        <w:ind w:left="720" w:hanging="360"/>
      </w:pPr>
      <w:rPr>
        <w:rFonts w:hint="default" w:ascii="Times New Roman" w:hAnsi="Times New Roman" w:cs="Times New Roman"/>
      </w:rPr>
    </w:lvl>
    <w:lvl w:ilvl="1" w:tentative="0">
      <w:start w:val="2"/>
      <w:numFmt w:val="decimal"/>
      <w:isLgl/>
      <w:lvlText w:val="%1.%2"/>
      <w:lvlJc w:val="left"/>
      <w:pPr>
        <w:ind w:left="1440" w:hanging="360"/>
      </w:pPr>
      <w:rPr>
        <w:rFonts w:hint="default" w:ascii="Times New Roman" w:hAnsi="Times New Roman" w:cs="Times New Roman"/>
      </w:rPr>
    </w:lvl>
    <w:lvl w:ilvl="2" w:tentative="0">
      <w:start w:val="3"/>
      <w:numFmt w:val="decimal"/>
      <w:isLgl/>
      <w:lvlText w:val="%1.%2.%3"/>
      <w:lvlJc w:val="left"/>
      <w:pPr>
        <w:ind w:left="927"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2">
    <w:nsid w:val="178344B0"/>
    <w:multiLevelType w:val="multilevel"/>
    <w:tmpl w:val="178344B0"/>
    <w:lvl w:ilvl="0" w:tentative="0">
      <w:start w:val="1"/>
      <w:numFmt w:val="decimal"/>
      <w:lvlText w:val="%1."/>
      <w:lvlJc w:val="left"/>
      <w:pPr>
        <w:ind w:left="720" w:hanging="360"/>
      </w:pPr>
      <w:rPr>
        <w:rFonts w:hint="default" w:ascii="Times New Roman" w:hAnsi="Times New Roman" w:cs="Times New Roman"/>
      </w:rPr>
    </w:lvl>
    <w:lvl w:ilvl="1" w:tentative="0">
      <w:start w:val="3"/>
      <w:numFmt w:val="decimal"/>
      <w:isLgl/>
      <w:lvlText w:val="%1.%2"/>
      <w:lvlJc w:val="left"/>
      <w:pPr>
        <w:ind w:left="1440" w:hanging="360"/>
      </w:pPr>
      <w:rPr>
        <w:rFonts w:hint="default" w:ascii="Times New Roman" w:hAnsi="Times New Roman" w:cs="Times New Roman"/>
      </w:rPr>
    </w:lvl>
    <w:lvl w:ilvl="2" w:tentative="0">
      <w:start w:val="1"/>
      <w:numFmt w:val="decimal"/>
      <w:isLgl/>
      <w:lvlText w:val="%1.%2.%3"/>
      <w:lvlJc w:val="left"/>
      <w:pPr>
        <w:ind w:left="216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3">
    <w:nsid w:val="2CB37E60"/>
    <w:multiLevelType w:val="multilevel"/>
    <w:tmpl w:val="2CB37E60"/>
    <w:lvl w:ilvl="0" w:tentative="0">
      <w:start w:val="1"/>
      <w:numFmt w:val="decimal"/>
      <w:lvlText w:val="%1."/>
      <w:lvlJc w:val="left"/>
      <w:pPr>
        <w:ind w:left="720" w:hanging="360"/>
      </w:pPr>
      <w:rPr>
        <w:rFonts w:hint="default" w:ascii="Times New Roman" w:hAnsi="Times New Roman" w:cs="Times New Roman"/>
      </w:rPr>
    </w:lvl>
    <w:lvl w:ilvl="1" w:tentative="0">
      <w:start w:val="1"/>
      <w:numFmt w:val="decimal"/>
      <w:isLgl/>
      <w:lvlText w:val="%1.%2"/>
      <w:lvlJc w:val="left"/>
      <w:pPr>
        <w:ind w:left="785" w:hanging="360"/>
      </w:pPr>
      <w:rPr>
        <w:rFonts w:hint="default" w:ascii="Times New Roman" w:hAnsi="Times New Roman" w:cs="Times New Roman"/>
      </w:rPr>
    </w:lvl>
    <w:lvl w:ilvl="2" w:tentative="0">
      <w:start w:val="1"/>
      <w:numFmt w:val="decimal"/>
      <w:isLgl/>
      <w:lvlText w:val="%1.%2.%3"/>
      <w:lvlJc w:val="left"/>
      <w:pPr>
        <w:ind w:left="216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abstractNum w:abstractNumId="4">
    <w:nsid w:val="603D52C8"/>
    <w:multiLevelType w:val="multilevel"/>
    <w:tmpl w:val="603D52C8"/>
    <w:lvl w:ilvl="0" w:tentative="0">
      <w:start w:val="1"/>
      <w:numFmt w:val="decimal"/>
      <w:lvlText w:val="%1."/>
      <w:lvlJc w:val="left"/>
      <w:pPr>
        <w:ind w:left="720" w:hanging="360"/>
      </w:pPr>
      <w:rPr>
        <w:rFonts w:hint="default" w:ascii="Times New Roman" w:hAnsi="Times New Roman" w:cs="Times New Roman"/>
      </w:rPr>
    </w:lvl>
    <w:lvl w:ilvl="1" w:tentative="0">
      <w:start w:val="4"/>
      <w:numFmt w:val="decimal"/>
      <w:isLgl/>
      <w:lvlText w:val="%1.%2"/>
      <w:lvlJc w:val="left"/>
      <w:pPr>
        <w:ind w:left="1068" w:hanging="360"/>
      </w:pPr>
      <w:rPr>
        <w:rFonts w:hint="default" w:ascii="Times New Roman" w:hAnsi="Times New Roman" w:cs="Times New Roman"/>
      </w:rPr>
    </w:lvl>
    <w:lvl w:ilvl="2" w:tentative="0">
      <w:start w:val="1"/>
      <w:numFmt w:val="decimal"/>
      <w:isLgl/>
      <w:lvlText w:val="%1.%2.%3"/>
      <w:lvlJc w:val="left"/>
      <w:pPr>
        <w:ind w:left="2160" w:hanging="360"/>
      </w:pPr>
      <w:rPr>
        <w:rFonts w:hint="default" w:ascii="Times New Roman" w:hAnsi="Times New Roman" w:cs="Times New Roman"/>
      </w:rPr>
    </w:lvl>
    <w:lvl w:ilvl="3" w:tentative="0">
      <w:start w:val="1"/>
      <w:numFmt w:val="decimal"/>
      <w:isLgl/>
      <w:lvlText w:val="%1.%2.%3.%4"/>
      <w:lvlJc w:val="left"/>
      <w:pPr>
        <w:ind w:left="2880" w:hanging="360"/>
      </w:pPr>
      <w:rPr>
        <w:rFonts w:hint="default" w:ascii="Times New Roman" w:hAnsi="Times New Roman" w:cs="Times New Roman"/>
      </w:rPr>
    </w:lvl>
    <w:lvl w:ilvl="4" w:tentative="0">
      <w:start w:val="1"/>
      <w:numFmt w:val="decimal"/>
      <w:isLgl/>
      <w:lvlText w:val="%1.%2.%3.%4.%5"/>
      <w:lvlJc w:val="left"/>
      <w:pPr>
        <w:ind w:left="3600" w:hanging="360"/>
      </w:pPr>
      <w:rPr>
        <w:rFonts w:hint="default" w:ascii="Times New Roman" w:hAnsi="Times New Roman" w:cs="Times New Roman"/>
      </w:rPr>
    </w:lvl>
    <w:lvl w:ilvl="5" w:tentative="0">
      <w:start w:val="1"/>
      <w:numFmt w:val="decimal"/>
      <w:isLgl/>
      <w:lvlText w:val="%1.%2.%3.%4.%5.%6"/>
      <w:lvlJc w:val="left"/>
      <w:pPr>
        <w:ind w:left="4320" w:hanging="360"/>
      </w:pPr>
      <w:rPr>
        <w:rFonts w:hint="default" w:ascii="Times New Roman" w:hAnsi="Times New Roman" w:cs="Times New Roman"/>
      </w:rPr>
    </w:lvl>
    <w:lvl w:ilvl="6" w:tentative="0">
      <w:start w:val="1"/>
      <w:numFmt w:val="decimal"/>
      <w:isLgl/>
      <w:lvlText w:val="%1.%2.%3.%4.%5.%6.%7"/>
      <w:lvlJc w:val="left"/>
      <w:pPr>
        <w:ind w:left="5040" w:hanging="360"/>
      </w:pPr>
      <w:rPr>
        <w:rFonts w:hint="default" w:ascii="Times New Roman" w:hAnsi="Times New Roman" w:cs="Times New Roman"/>
      </w:rPr>
    </w:lvl>
    <w:lvl w:ilvl="7" w:tentative="0">
      <w:start w:val="1"/>
      <w:numFmt w:val="decimal"/>
      <w:isLgl/>
      <w:lvlText w:val="%1.%2.%3.%4.%5.%6.%7.%8"/>
      <w:lvlJc w:val="left"/>
      <w:pPr>
        <w:ind w:left="5760" w:hanging="360"/>
      </w:pPr>
      <w:rPr>
        <w:rFonts w:hint="default" w:ascii="Times New Roman" w:hAnsi="Times New Roman" w:cs="Times New Roman"/>
      </w:rPr>
    </w:lvl>
    <w:lvl w:ilvl="8" w:tentative="0">
      <w:start w:val="1"/>
      <w:numFmt w:val="decimal"/>
      <w:isLgl/>
      <w:lvlText w:val="%1.%2.%3.%4.%5.%6.%7.%8.%9"/>
      <w:lvlJc w:val="left"/>
      <w:pPr>
        <w:ind w:left="6480" w:hanging="360"/>
      </w:pPr>
      <w:rPr>
        <w:rFonts w:hint="default" w:ascii="Times New Roman" w:hAnsi="Times New Roman" w:cs="Times New Roman"/>
      </w:rPr>
    </w:lvl>
  </w:abstractNum>
  <w:num w:numId="1">
    <w:abstractNumId w:val="1"/>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a/gY4kEHBcikYCLnlkDJ5uyck0Q=" w:salt="kLaRV3xXCcoMH3SPEQS8Qg=="/>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3E3"/>
    <w:rsid w:val="00272861"/>
    <w:rsid w:val="00566BDD"/>
    <w:rsid w:val="00C003E3"/>
    <w:rsid w:val="356D5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Times New Roman" w:cs="Times New Roman"/>
      <w:kern w:val="2"/>
      <w:sz w:val="22"/>
      <w:szCs w:val="22"/>
      <w:lang w:val="zh-CN" w:eastAsia="en-US" w:bidi="ar-SA"/>
    </w:rPr>
  </w:style>
  <w:style w:type="paragraph" w:styleId="2">
    <w:name w:val="heading 1"/>
    <w:basedOn w:val="1"/>
    <w:next w:val="1"/>
    <w:link w:val="9"/>
    <w:qFormat/>
    <w:uiPriority w:val="9"/>
    <w:pPr>
      <w:spacing w:after="0" w:line="480" w:lineRule="auto"/>
      <w:jc w:val="center"/>
      <w:outlineLvl w:val="0"/>
    </w:pPr>
    <w:rPr>
      <w:rFonts w:ascii="Times New Roman" w:hAnsi="Times New Roman"/>
      <w:b/>
      <w:bCs/>
      <w:sz w:val="24"/>
      <w:szCs w:val="24"/>
    </w:rPr>
  </w:style>
  <w:style w:type="paragraph" w:styleId="3">
    <w:name w:val="heading 2"/>
    <w:basedOn w:val="1"/>
    <w:next w:val="1"/>
    <w:link w:val="10"/>
    <w:unhideWhenUsed/>
    <w:qFormat/>
    <w:uiPriority w:val="9"/>
    <w:pPr>
      <w:spacing w:after="0" w:line="480" w:lineRule="auto"/>
      <w:jc w:val="both"/>
      <w:outlineLvl w:val="1"/>
    </w:pPr>
    <w:rPr>
      <w:rFonts w:ascii="Times New Roman" w:hAnsi="Times New Roman"/>
      <w:b/>
      <w:bCs/>
    </w:rPr>
  </w:style>
  <w:style w:type="paragraph" w:styleId="4">
    <w:name w:val="heading 3"/>
    <w:basedOn w:val="1"/>
    <w:next w:val="1"/>
    <w:link w:val="11"/>
    <w:unhideWhenUsed/>
    <w:qFormat/>
    <w:uiPriority w:val="9"/>
    <w:pPr>
      <w:spacing w:after="0" w:line="480" w:lineRule="auto"/>
      <w:jc w:val="both"/>
      <w:outlineLvl w:val="2"/>
    </w:pPr>
    <w:rPr>
      <w:rFonts w:ascii="Times New Roman" w:hAnsi="Times New Roman"/>
      <w:b/>
      <w:sz w:val="24"/>
      <w:szCs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footer"/>
    <w:basedOn w:val="1"/>
    <w:link w:val="13"/>
    <w:unhideWhenUsed/>
    <w:qFormat/>
    <w:uiPriority w:val="99"/>
    <w:pPr>
      <w:tabs>
        <w:tab w:val="center" w:pos="4513"/>
        <w:tab w:val="right" w:pos="9026"/>
      </w:tabs>
      <w:spacing w:after="0" w:line="240" w:lineRule="auto"/>
    </w:pPr>
  </w:style>
  <w:style w:type="paragraph" w:styleId="8">
    <w:name w:val="header"/>
    <w:basedOn w:val="1"/>
    <w:link w:val="12"/>
    <w:unhideWhenUsed/>
    <w:qFormat/>
    <w:uiPriority w:val="99"/>
    <w:pPr>
      <w:tabs>
        <w:tab w:val="center" w:pos="4513"/>
        <w:tab w:val="right" w:pos="9026"/>
      </w:tabs>
      <w:spacing w:after="0" w:line="240" w:lineRule="auto"/>
    </w:pPr>
  </w:style>
  <w:style w:type="character" w:customStyle="1" w:styleId="9">
    <w:name w:val="Heading 1 Char"/>
    <w:basedOn w:val="5"/>
    <w:link w:val="2"/>
    <w:qFormat/>
    <w:uiPriority w:val="9"/>
    <w:rPr>
      <w:rFonts w:ascii="Times New Roman" w:hAnsi="Times New Roman" w:eastAsia="Times New Roman" w:cs="Times New Roman"/>
      <w:b/>
      <w:bCs/>
      <w:kern w:val="2"/>
      <w:sz w:val="24"/>
      <w:szCs w:val="24"/>
      <w:lang w:val="zh-CN"/>
    </w:rPr>
  </w:style>
  <w:style w:type="character" w:customStyle="1" w:styleId="10">
    <w:name w:val="Heading 2 Char"/>
    <w:basedOn w:val="5"/>
    <w:link w:val="3"/>
    <w:qFormat/>
    <w:uiPriority w:val="9"/>
    <w:rPr>
      <w:rFonts w:ascii="Times New Roman" w:hAnsi="Times New Roman" w:eastAsia="Times New Roman" w:cs="Times New Roman"/>
      <w:b/>
      <w:bCs/>
      <w:kern w:val="2"/>
      <w:lang w:val="zh-CN"/>
    </w:rPr>
  </w:style>
  <w:style w:type="character" w:customStyle="1" w:styleId="11">
    <w:name w:val="Heading 3 Char"/>
    <w:basedOn w:val="5"/>
    <w:link w:val="4"/>
    <w:qFormat/>
    <w:uiPriority w:val="9"/>
    <w:rPr>
      <w:rFonts w:ascii="Times New Roman" w:hAnsi="Times New Roman" w:eastAsia="Times New Roman" w:cs="Times New Roman"/>
      <w:b/>
      <w:kern w:val="2"/>
      <w:sz w:val="24"/>
      <w:szCs w:val="24"/>
      <w:lang w:val="zh-CN"/>
    </w:rPr>
  </w:style>
  <w:style w:type="character" w:customStyle="1" w:styleId="12">
    <w:name w:val="Header Char"/>
    <w:basedOn w:val="5"/>
    <w:link w:val="8"/>
    <w:qFormat/>
    <w:uiPriority w:val="99"/>
    <w:rPr>
      <w:rFonts w:ascii="Calibri" w:hAnsi="Calibri" w:eastAsia="Times New Roman" w:cs="Times New Roman"/>
      <w:kern w:val="2"/>
      <w:lang w:val="zh-CN"/>
    </w:rPr>
  </w:style>
  <w:style w:type="character" w:customStyle="1" w:styleId="13">
    <w:name w:val="Footer Char"/>
    <w:basedOn w:val="5"/>
    <w:link w:val="7"/>
    <w:qFormat/>
    <w:uiPriority w:val="99"/>
    <w:rPr>
      <w:rFonts w:ascii="Calibri" w:hAnsi="Calibri" w:eastAsia="Times New Roman" w:cs="Times New Roman"/>
      <w:kern w:val="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microsoft.com/office/2007/relationships/diagramDrawing" Target="diagrams/drawing1.xml"/><Relationship Id="rId15" Type="http://schemas.openxmlformats.org/officeDocument/2006/relationships/diagramColors" Target="diagrams/colors1.xml"/><Relationship Id="rId14" Type="http://schemas.openxmlformats.org/officeDocument/2006/relationships/diagramQuickStyle" Target="diagrams/quickStyle1.xml"/><Relationship Id="rId13" Type="http://schemas.openxmlformats.org/officeDocument/2006/relationships/diagramLayout" Target="diagrams/layout1.xml"/><Relationship Id="rId12" Type="http://schemas.openxmlformats.org/officeDocument/2006/relationships/diagramData" Target="diagrams/data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D143F868-88E0-467C-A8D8-E7487EDF40CE}" type="doc">
      <dgm:prSet loTypeId="urn:microsoft.com/office/officeart/2005/8/layout/orgChart1" loCatId="hierarchy" qsTypeId="urn:microsoft.com/office/officeart/2005/8/quickstyle/simple1" qsCatId="simple" csTypeId="urn:microsoft.com/office/officeart/2005/8/colors/accent0_1" csCatId="mainScheme" phldr="1"/>
      <dgm:spPr/>
      <dgm:t>
        <a:bodyPr/>
        <a:p>
          <a:endParaRPr lang="en-ID"/>
        </a:p>
      </dgm:t>
    </dgm:pt>
    <dgm:pt modelId="{93A232BD-56CF-4656-8F11-4B2769E99994}">
      <dgm:prSet phldrT="[Text]" custT="1"/>
      <dgm:spPr>
        <a:xfrm>
          <a:off x="1695752" y="102348"/>
          <a:ext cx="2047908" cy="71950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perlindungan hukum</a:t>
          </a:r>
        </a:p>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-efektifitas penegakan </a:t>
          </a:r>
        </a:p>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 implementasi aturan </a:t>
          </a:r>
        </a:p>
      </dgm:t>
    </dgm:pt>
    <dgm:pt modelId="{0207AAAF-674B-4A66-A604-4EF7E57258E5}" cxnId="{5419F49D-2C2F-4874-BDD5-B4255DD3E8CF}" type="parTrans">
      <dgm:prSet/>
      <dgm:spPr/>
      <dgm:t>
        <a:bodyPr/>
        <a:p>
          <a:endParaRPr lang="en-ID" sz="1200" b="0">
            <a:latin typeface="Times New Roman" panose="02020603050405020304" charset="0"/>
            <a:cs typeface="Times New Roman" panose="02020603050405020304" charset="0"/>
          </a:endParaRPr>
        </a:p>
      </dgm:t>
    </dgm:pt>
    <dgm:pt modelId="{8C7C095E-EAF1-40D4-870B-102D46239346}" cxnId="{5419F49D-2C2F-4874-BDD5-B4255DD3E8CF}" type="sibTrans">
      <dgm:prSet/>
      <dgm:spPr/>
      <dgm:t>
        <a:bodyPr/>
        <a:p>
          <a:endParaRPr lang="en-ID" sz="1200" b="0">
            <a:latin typeface="Times New Roman" panose="02020603050405020304" charset="0"/>
            <a:cs typeface="Times New Roman" panose="02020603050405020304" charset="0"/>
          </a:endParaRPr>
        </a:p>
      </dgm:t>
    </dgm:pt>
    <dgm:pt modelId="{7AA98433-163F-4D2F-A6ED-4F5FE8946B05}" type="asst">
      <dgm:prSet phldrT="[Text]" custT="1"/>
      <dgm:spPr>
        <a:xfrm>
          <a:off x="324956" y="1010935"/>
          <a:ext cx="2028387" cy="95261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kesadaran pengendara </a:t>
          </a:r>
        </a:p>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 pengetahuan aturan lalu lintas</a:t>
          </a:r>
        </a:p>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--kepatuhan terhadap aturan </a:t>
          </a:r>
        </a:p>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aturan </a:t>
          </a:r>
        </a:p>
      </dgm:t>
    </dgm:pt>
    <dgm:pt modelId="{1EADB5A2-E447-4297-9452-ADED7383E7C4}" cxnId="{E0621345-1058-4DAC-BE71-9B5878F8B1A7}" type="parTrans">
      <dgm:prSet/>
      <dgm:spPr>
        <a:xfrm>
          <a:off x="2353343" y="821854"/>
          <a:ext cx="366363" cy="665389"/>
        </a:xfrm>
        <a:custGeom>
          <a:avLst/>
          <a:gdLst/>
          <a:ahLst/>
          <a:cxnLst/>
          <a:rect l="0" t="0" r="0" b="0"/>
          <a:pathLst>
            <a:path>
              <a:moveTo>
                <a:pt x="365858" y="0"/>
              </a:moveTo>
              <a:lnTo>
                <a:pt x="365858" y="664472"/>
              </a:lnTo>
              <a:lnTo>
                <a:pt x="0" y="664472"/>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p>
          <a:endParaRPr lang="en-ID" sz="1200" b="0">
            <a:latin typeface="Times New Roman" panose="02020603050405020304" charset="0"/>
            <a:cs typeface="Times New Roman" panose="02020603050405020304" charset="0"/>
          </a:endParaRPr>
        </a:p>
      </dgm:t>
    </dgm:pt>
    <dgm:pt modelId="{1F99A0A8-278D-43D9-A130-68F4352E6FE8}" cxnId="{E0621345-1058-4DAC-BE71-9B5878F8B1A7}" type="sibTrans">
      <dgm:prSet/>
      <dgm:spPr/>
      <dgm:t>
        <a:bodyPr/>
        <a:p>
          <a:endParaRPr lang="en-ID" sz="1200" b="0">
            <a:latin typeface="Times New Roman" panose="02020603050405020304" charset="0"/>
            <a:cs typeface="Times New Roman" panose="02020603050405020304" charset="0"/>
          </a:endParaRPr>
        </a:p>
      </dgm:t>
    </dgm:pt>
    <dgm:pt modelId="{EA7988E9-E289-4462-88D6-D12F88CB9BA3}">
      <dgm:prSet phldrT="[Text]" custT="1"/>
      <dgm:spPr>
        <a:xfrm>
          <a:off x="135930" y="2253681"/>
          <a:ext cx="1381565" cy="69078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faktor sosial</a:t>
          </a:r>
        </a:p>
      </dgm:t>
    </dgm:pt>
    <dgm:pt modelId="{E25BEC6A-338F-4537-9B3B-003AA7225DD9}" cxnId="{9CEC6F9D-D754-4809-BD51-F98D4C0494B4}" type="parTrans">
      <dgm:prSet/>
      <dgm:spPr>
        <a:xfrm>
          <a:off x="826713" y="821854"/>
          <a:ext cx="1892993" cy="1431827"/>
        </a:xfrm>
        <a:custGeom>
          <a:avLst/>
          <a:gdLst/>
          <a:ahLst/>
          <a:cxnLst/>
          <a:rect l="0" t="0" r="0" b="0"/>
          <a:pathLst>
            <a:path>
              <a:moveTo>
                <a:pt x="1890384" y="0"/>
              </a:moveTo>
              <a:lnTo>
                <a:pt x="1890384" y="1284989"/>
              </a:lnTo>
              <a:lnTo>
                <a:pt x="0" y="1284989"/>
              </a:lnTo>
              <a:lnTo>
                <a:pt x="0" y="1429853"/>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p>
          <a:endParaRPr lang="en-ID" sz="1200" b="0">
            <a:latin typeface="Times New Roman" panose="02020603050405020304" charset="0"/>
            <a:cs typeface="Times New Roman" panose="02020603050405020304" charset="0"/>
          </a:endParaRPr>
        </a:p>
      </dgm:t>
    </dgm:pt>
    <dgm:pt modelId="{0ABC2555-4D71-41E7-B31E-4EB7190EE840}" cxnId="{9CEC6F9D-D754-4809-BD51-F98D4C0494B4}" type="sibTrans">
      <dgm:prSet/>
      <dgm:spPr/>
      <dgm:t>
        <a:bodyPr/>
        <a:p>
          <a:endParaRPr lang="en-ID" sz="1200" b="0">
            <a:latin typeface="Times New Roman" panose="02020603050405020304" charset="0"/>
            <a:cs typeface="Times New Roman" panose="02020603050405020304" charset="0"/>
          </a:endParaRPr>
        </a:p>
      </dgm:t>
    </dgm:pt>
    <dgm:pt modelId="{FF4D5F7F-A468-466C-9AA8-DFEBB90BC8C4}">
      <dgm:prSet phldrT="[Text]" custT="1"/>
      <dgm:spPr>
        <a:xfrm>
          <a:off x="1807624" y="2253681"/>
          <a:ext cx="1381565" cy="69078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faktor pendiidkan</a:t>
          </a:r>
        </a:p>
      </dgm:t>
    </dgm:pt>
    <dgm:pt modelId="{95B5E3F5-42E3-4191-948B-631909F7242E}" cxnId="{DEFA3D21-F9DC-4BEB-B887-B4F95A73CFB5}" type="parTrans">
      <dgm:prSet/>
      <dgm:spPr>
        <a:xfrm>
          <a:off x="2498407" y="821854"/>
          <a:ext cx="221299" cy="1431827"/>
        </a:xfrm>
        <a:custGeom>
          <a:avLst/>
          <a:gdLst/>
          <a:ahLst/>
          <a:cxnLst/>
          <a:rect l="0" t="0" r="0" b="0"/>
          <a:pathLst>
            <a:path>
              <a:moveTo>
                <a:pt x="220994" y="0"/>
              </a:moveTo>
              <a:lnTo>
                <a:pt x="220994" y="1284989"/>
              </a:lnTo>
              <a:lnTo>
                <a:pt x="0" y="1284989"/>
              </a:lnTo>
              <a:lnTo>
                <a:pt x="0" y="1429853"/>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p>
          <a:endParaRPr lang="en-ID" sz="1200" b="0">
            <a:latin typeface="Times New Roman" panose="02020603050405020304" charset="0"/>
            <a:cs typeface="Times New Roman" panose="02020603050405020304" charset="0"/>
          </a:endParaRPr>
        </a:p>
      </dgm:t>
    </dgm:pt>
    <dgm:pt modelId="{A3D6A086-6E0A-4009-B898-F8E98A516FE3}" cxnId="{DEFA3D21-F9DC-4BEB-B887-B4F95A73CFB5}" type="sibTrans">
      <dgm:prSet/>
      <dgm:spPr/>
      <dgm:t>
        <a:bodyPr/>
        <a:p>
          <a:endParaRPr lang="en-ID" sz="1200" b="0">
            <a:latin typeface="Times New Roman" panose="02020603050405020304" charset="0"/>
            <a:cs typeface="Times New Roman" panose="02020603050405020304" charset="0"/>
          </a:endParaRPr>
        </a:p>
      </dgm:t>
    </dgm:pt>
    <dgm:pt modelId="{95D2791A-8BDD-47EE-A871-4784C241C2B0}">
      <dgm:prSet phldrT="[Text]" custT="1"/>
      <dgm:spPr>
        <a:xfrm>
          <a:off x="3479319" y="2253681"/>
          <a:ext cx="1381565" cy="69078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p>
          <a:pPr>
            <a:buNone/>
          </a:pPr>
          <a:r>
            <a:rPr lang="en-ID" sz="1200" b="0">
              <a:solidFill>
                <a:sysClr val="windowText" lastClr="000000">
                  <a:hueOff val="0"/>
                  <a:satOff val="0"/>
                  <a:lumOff val="0"/>
                  <a:alphaOff val="0"/>
                </a:sysClr>
              </a:solidFill>
              <a:latin typeface="Times New Roman" panose="02020603050405020304" charset="0"/>
              <a:ea typeface="+mn-ea"/>
              <a:cs typeface="Times New Roman" panose="02020603050405020304" charset="0"/>
            </a:rPr>
            <a:t>faktor ekonomi</a:t>
          </a:r>
        </a:p>
      </dgm:t>
    </dgm:pt>
    <dgm:pt modelId="{897917B6-4F6C-430F-A3D0-AAF0EB753765}" cxnId="{14FF6C4E-8205-45C8-AABA-18E1B44EFBDE}" type="parTrans">
      <dgm:prSet/>
      <dgm:spPr>
        <a:xfrm>
          <a:off x="2719706" y="821854"/>
          <a:ext cx="1450395" cy="1431827"/>
        </a:xfrm>
        <a:custGeom>
          <a:avLst/>
          <a:gdLst/>
          <a:ahLst/>
          <a:cxnLst/>
          <a:rect l="0" t="0" r="0" b="0"/>
          <a:pathLst>
            <a:path>
              <a:moveTo>
                <a:pt x="0" y="0"/>
              </a:moveTo>
              <a:lnTo>
                <a:pt x="0" y="1284989"/>
              </a:lnTo>
              <a:lnTo>
                <a:pt x="1448396" y="1284989"/>
              </a:lnTo>
              <a:lnTo>
                <a:pt x="1448396" y="1429853"/>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p>
          <a:endParaRPr lang="en-ID" sz="1200" b="0">
            <a:latin typeface="Times New Roman" panose="02020603050405020304" charset="0"/>
            <a:cs typeface="Times New Roman" panose="02020603050405020304" charset="0"/>
          </a:endParaRPr>
        </a:p>
      </dgm:t>
    </dgm:pt>
    <dgm:pt modelId="{38623422-04FD-4E4C-8D84-D9DBECC862FC}" cxnId="{14FF6C4E-8205-45C8-AABA-18E1B44EFBDE}" type="sibTrans">
      <dgm:prSet/>
      <dgm:spPr/>
      <dgm:t>
        <a:bodyPr/>
        <a:p>
          <a:endParaRPr lang="en-ID" sz="1200" b="0">
            <a:latin typeface="Times New Roman" panose="02020603050405020304" charset="0"/>
            <a:cs typeface="Times New Roman" panose="02020603050405020304" charset="0"/>
          </a:endParaRPr>
        </a:p>
      </dgm:t>
    </dgm:pt>
    <dgm:pt modelId="{331D5CBF-B42E-4FBF-8FC6-9A2A65CBE928}" type="pres">
      <dgm:prSet presAssocID="{D143F868-88E0-467C-A8D8-E7487EDF40CE}" presName="hierChild1" presStyleCnt="0">
        <dgm:presLayoutVars>
          <dgm:orgChart val="1"/>
          <dgm:chPref val="1"/>
          <dgm:dir/>
          <dgm:animOne val="branch"/>
          <dgm:animLvl val="lvl"/>
          <dgm:resizeHandles/>
        </dgm:presLayoutVars>
      </dgm:prSet>
      <dgm:spPr/>
      <dgm:t>
        <a:bodyPr/>
        <a:p>
          <a:endParaRPr lang="en-US"/>
        </a:p>
      </dgm:t>
    </dgm:pt>
    <dgm:pt modelId="{C509A2A0-503B-46A0-8D09-D7B6F1B1DF71}" type="pres">
      <dgm:prSet presAssocID="{93A232BD-56CF-4656-8F11-4B2769E99994}" presName="hierRoot1" presStyleCnt="0">
        <dgm:presLayoutVars>
          <dgm:hierBranch val="init"/>
        </dgm:presLayoutVars>
      </dgm:prSet>
      <dgm:spPr/>
    </dgm:pt>
    <dgm:pt modelId="{9D2DF8D2-61A8-478F-8C5B-EB8CFD4CBB94}" type="pres">
      <dgm:prSet presAssocID="{93A232BD-56CF-4656-8F11-4B2769E99994}" presName="rootComposite1" presStyleCnt="0"/>
      <dgm:spPr/>
    </dgm:pt>
    <dgm:pt modelId="{A3C87137-EAA6-440A-B0C8-A7666728D533}" type="pres">
      <dgm:prSet presAssocID="{93A232BD-56CF-4656-8F11-4B2769E99994}" presName="rootText1" presStyleLbl="node0" presStyleIdx="0" presStyleCnt="1" custAng="0" custScaleX="148231" custScaleY="104158" custLinFactNeighborX="16017" custLinFactNeighborY="14628">
        <dgm:presLayoutVars>
          <dgm:chPref val="3"/>
        </dgm:presLayoutVars>
      </dgm:prSet>
      <dgm:spPr/>
      <dgm:t>
        <a:bodyPr/>
        <a:p>
          <a:endParaRPr lang="en-US"/>
        </a:p>
      </dgm:t>
    </dgm:pt>
    <dgm:pt modelId="{23AC7DD1-B30E-4FB5-B38A-5B25BE7BE4D9}" type="pres">
      <dgm:prSet presAssocID="{93A232BD-56CF-4656-8F11-4B2769E99994}" presName="rootConnector1" presStyleLbl="node1" presStyleIdx="0" presStyleCnt="0"/>
      <dgm:spPr/>
      <dgm:t>
        <a:bodyPr/>
        <a:p>
          <a:endParaRPr lang="en-US"/>
        </a:p>
      </dgm:t>
    </dgm:pt>
    <dgm:pt modelId="{E2FAD1A2-85BE-4D8C-A412-E53DA52F3D66}" type="pres">
      <dgm:prSet presAssocID="{93A232BD-56CF-4656-8F11-4B2769E99994}" presName="hierChild2" presStyleCnt="0"/>
      <dgm:spPr/>
    </dgm:pt>
    <dgm:pt modelId="{EDFD691C-4CFF-4D7C-83BE-9323AFF25EC5}" type="pres">
      <dgm:prSet presAssocID="{E25BEC6A-338F-4537-9B3B-003AA7225DD9}" presName="Name37" presStyleLbl="parChTrans1D2" presStyleIdx="0" presStyleCnt="4"/>
      <dgm:spPr/>
      <dgm:t>
        <a:bodyPr/>
        <a:p>
          <a:endParaRPr lang="en-US"/>
        </a:p>
      </dgm:t>
    </dgm:pt>
    <dgm:pt modelId="{72029D09-BAFF-433B-B1C6-044CC636F1CD}" type="pres">
      <dgm:prSet presAssocID="{EA7988E9-E289-4462-88D6-D12F88CB9BA3}" presName="hierRoot2" presStyleCnt="0">
        <dgm:presLayoutVars>
          <dgm:hierBranch val="init"/>
        </dgm:presLayoutVars>
      </dgm:prSet>
      <dgm:spPr/>
    </dgm:pt>
    <dgm:pt modelId="{57712336-669B-4806-9CF7-CB4814310643}" type="pres">
      <dgm:prSet presAssocID="{EA7988E9-E289-4462-88D6-D12F88CB9BA3}" presName="rootComposite" presStyleCnt="0"/>
      <dgm:spPr/>
    </dgm:pt>
    <dgm:pt modelId="{44DF7633-B1E9-4752-9A17-C3B03154CBB1}" type="pres">
      <dgm:prSet presAssocID="{EA7988E9-E289-4462-88D6-D12F88CB9BA3}" presName="rootText" presStyleLbl="node2" presStyleIdx="0" presStyleCnt="3">
        <dgm:presLayoutVars>
          <dgm:chPref val="3"/>
        </dgm:presLayoutVars>
      </dgm:prSet>
      <dgm:spPr/>
      <dgm:t>
        <a:bodyPr/>
        <a:p>
          <a:endParaRPr lang="en-US"/>
        </a:p>
      </dgm:t>
    </dgm:pt>
    <dgm:pt modelId="{F6090606-81CA-4FE9-A615-93CD09AFDCEE}" type="pres">
      <dgm:prSet presAssocID="{EA7988E9-E289-4462-88D6-D12F88CB9BA3}" presName="rootConnector" presStyleLbl="node2" presStyleIdx="0" presStyleCnt="3"/>
      <dgm:spPr/>
      <dgm:t>
        <a:bodyPr/>
        <a:p>
          <a:endParaRPr lang="en-US"/>
        </a:p>
      </dgm:t>
    </dgm:pt>
    <dgm:pt modelId="{F9C24B20-79B5-4E2A-812A-9D291BF91DB6}" type="pres">
      <dgm:prSet presAssocID="{EA7988E9-E289-4462-88D6-D12F88CB9BA3}" presName="hierChild4" presStyleCnt="0"/>
      <dgm:spPr/>
    </dgm:pt>
    <dgm:pt modelId="{A4689D14-E516-4EA6-BA66-E56B73E6037F}" type="pres">
      <dgm:prSet presAssocID="{EA7988E9-E289-4462-88D6-D12F88CB9BA3}" presName="hierChild5" presStyleCnt="0"/>
      <dgm:spPr/>
    </dgm:pt>
    <dgm:pt modelId="{BF7AAFE5-B4A7-420F-AB07-27142D4CB734}" type="pres">
      <dgm:prSet presAssocID="{95B5E3F5-42E3-4191-948B-631909F7242E}" presName="Name37" presStyleLbl="parChTrans1D2" presStyleIdx="1" presStyleCnt="4"/>
      <dgm:spPr/>
      <dgm:t>
        <a:bodyPr/>
        <a:p>
          <a:endParaRPr lang="en-US"/>
        </a:p>
      </dgm:t>
    </dgm:pt>
    <dgm:pt modelId="{CFD34099-E615-44B9-8547-1FC84E9B3D0F}" type="pres">
      <dgm:prSet presAssocID="{FF4D5F7F-A468-466C-9AA8-DFEBB90BC8C4}" presName="hierRoot2" presStyleCnt="0">
        <dgm:presLayoutVars>
          <dgm:hierBranch val="init"/>
        </dgm:presLayoutVars>
      </dgm:prSet>
      <dgm:spPr/>
    </dgm:pt>
    <dgm:pt modelId="{1EF62A9F-482A-4223-B9A0-F30020A5CD24}" type="pres">
      <dgm:prSet presAssocID="{FF4D5F7F-A468-466C-9AA8-DFEBB90BC8C4}" presName="rootComposite" presStyleCnt="0"/>
      <dgm:spPr/>
    </dgm:pt>
    <dgm:pt modelId="{0A7EC703-4F9D-458B-BCC9-7582BF5EDC56}" type="pres">
      <dgm:prSet presAssocID="{FF4D5F7F-A468-466C-9AA8-DFEBB90BC8C4}" presName="rootText" presStyleLbl="node2" presStyleIdx="1" presStyleCnt="3">
        <dgm:presLayoutVars>
          <dgm:chPref val="3"/>
        </dgm:presLayoutVars>
      </dgm:prSet>
      <dgm:spPr/>
      <dgm:t>
        <a:bodyPr/>
        <a:p>
          <a:endParaRPr lang="en-US"/>
        </a:p>
      </dgm:t>
    </dgm:pt>
    <dgm:pt modelId="{BA0E66DC-C81D-4B0C-BD6A-C10FE734FB47}" type="pres">
      <dgm:prSet presAssocID="{FF4D5F7F-A468-466C-9AA8-DFEBB90BC8C4}" presName="rootConnector" presStyleLbl="node2" presStyleIdx="1" presStyleCnt="3"/>
      <dgm:spPr/>
      <dgm:t>
        <a:bodyPr/>
        <a:p>
          <a:endParaRPr lang="en-US"/>
        </a:p>
      </dgm:t>
    </dgm:pt>
    <dgm:pt modelId="{1C69F15A-BB13-4ECD-A7AD-94392771515B}" type="pres">
      <dgm:prSet presAssocID="{FF4D5F7F-A468-466C-9AA8-DFEBB90BC8C4}" presName="hierChild4" presStyleCnt="0"/>
      <dgm:spPr/>
    </dgm:pt>
    <dgm:pt modelId="{A9A4A611-2395-4A78-A56E-0F62A8E4CCD6}" type="pres">
      <dgm:prSet presAssocID="{FF4D5F7F-A468-466C-9AA8-DFEBB90BC8C4}" presName="hierChild5" presStyleCnt="0"/>
      <dgm:spPr/>
    </dgm:pt>
    <dgm:pt modelId="{C240760E-1038-4D7C-8397-309931A44CA9}" type="pres">
      <dgm:prSet presAssocID="{897917B6-4F6C-430F-A3D0-AAF0EB753765}" presName="Name37" presStyleLbl="parChTrans1D2" presStyleIdx="2" presStyleCnt="4"/>
      <dgm:spPr/>
      <dgm:t>
        <a:bodyPr/>
        <a:p>
          <a:endParaRPr lang="en-US"/>
        </a:p>
      </dgm:t>
    </dgm:pt>
    <dgm:pt modelId="{AE6A46A2-8305-4DEF-904D-CC457D88DD19}" type="pres">
      <dgm:prSet presAssocID="{95D2791A-8BDD-47EE-A871-4784C241C2B0}" presName="hierRoot2" presStyleCnt="0">
        <dgm:presLayoutVars>
          <dgm:hierBranch val="init"/>
        </dgm:presLayoutVars>
      </dgm:prSet>
      <dgm:spPr/>
    </dgm:pt>
    <dgm:pt modelId="{6E6E8DA3-29BA-4BCB-8D02-09DB74C18208}" type="pres">
      <dgm:prSet presAssocID="{95D2791A-8BDD-47EE-A871-4784C241C2B0}" presName="rootComposite" presStyleCnt="0"/>
      <dgm:spPr/>
    </dgm:pt>
    <dgm:pt modelId="{F4B746B8-584C-4E2A-B75E-88B80FC27262}" type="pres">
      <dgm:prSet presAssocID="{95D2791A-8BDD-47EE-A871-4784C241C2B0}" presName="rootText" presStyleLbl="node2" presStyleIdx="2" presStyleCnt="3">
        <dgm:presLayoutVars>
          <dgm:chPref val="3"/>
        </dgm:presLayoutVars>
      </dgm:prSet>
      <dgm:spPr/>
      <dgm:t>
        <a:bodyPr/>
        <a:p>
          <a:endParaRPr lang="en-US"/>
        </a:p>
      </dgm:t>
    </dgm:pt>
    <dgm:pt modelId="{8ACCBABD-D546-4E93-A3DC-B0EBBA78FBFA}" type="pres">
      <dgm:prSet presAssocID="{95D2791A-8BDD-47EE-A871-4784C241C2B0}" presName="rootConnector" presStyleLbl="node2" presStyleIdx="2" presStyleCnt="3"/>
      <dgm:spPr/>
      <dgm:t>
        <a:bodyPr/>
        <a:p>
          <a:endParaRPr lang="en-US"/>
        </a:p>
      </dgm:t>
    </dgm:pt>
    <dgm:pt modelId="{E86359C2-A101-499C-8174-7D2B1ECD70C5}" type="pres">
      <dgm:prSet presAssocID="{95D2791A-8BDD-47EE-A871-4784C241C2B0}" presName="hierChild4" presStyleCnt="0"/>
      <dgm:spPr/>
    </dgm:pt>
    <dgm:pt modelId="{4FD83C0D-0198-466C-9C62-DE7A0575CF92}" type="pres">
      <dgm:prSet presAssocID="{95D2791A-8BDD-47EE-A871-4784C241C2B0}" presName="hierChild5" presStyleCnt="0"/>
      <dgm:spPr/>
    </dgm:pt>
    <dgm:pt modelId="{05068FB5-F647-4F81-9BDC-655FBEF1A777}" type="pres">
      <dgm:prSet presAssocID="{93A232BD-56CF-4656-8F11-4B2769E99994}" presName="hierChild3" presStyleCnt="0"/>
      <dgm:spPr/>
    </dgm:pt>
    <dgm:pt modelId="{F921A264-4768-4A08-8B70-AA2CFD735068}" type="pres">
      <dgm:prSet presAssocID="{1EADB5A2-E447-4297-9452-ADED7383E7C4}" presName="Name111" presStyleLbl="parChTrans1D2" presStyleIdx="3" presStyleCnt="4"/>
      <dgm:spPr/>
      <dgm:t>
        <a:bodyPr/>
        <a:p>
          <a:endParaRPr lang="en-US"/>
        </a:p>
      </dgm:t>
    </dgm:pt>
    <dgm:pt modelId="{C9891518-B653-4DF6-A7A3-37982E99764C}" type="pres">
      <dgm:prSet presAssocID="{7AA98433-163F-4D2F-A6ED-4F5FE8946B05}" presName="hierRoot3" presStyleCnt="0">
        <dgm:presLayoutVars>
          <dgm:hierBranch val="init"/>
        </dgm:presLayoutVars>
      </dgm:prSet>
      <dgm:spPr/>
    </dgm:pt>
    <dgm:pt modelId="{43E8E032-FFC9-4D21-BA40-6FA72721D9E9}" type="pres">
      <dgm:prSet presAssocID="{7AA98433-163F-4D2F-A6ED-4F5FE8946B05}" presName="rootComposite3" presStyleCnt="0"/>
      <dgm:spPr/>
    </dgm:pt>
    <dgm:pt modelId="{35C0AC21-9398-4674-B769-0DEF25E40956}" type="pres">
      <dgm:prSet presAssocID="{7AA98433-163F-4D2F-A6ED-4F5FE8946B05}" presName="rootText3" presStyleLbl="asst1" presStyleIdx="0" presStyleCnt="1" custScaleX="146818" custScaleY="137904">
        <dgm:presLayoutVars>
          <dgm:chPref val="3"/>
        </dgm:presLayoutVars>
      </dgm:prSet>
      <dgm:spPr/>
      <dgm:t>
        <a:bodyPr/>
        <a:p>
          <a:endParaRPr lang="en-US"/>
        </a:p>
      </dgm:t>
    </dgm:pt>
    <dgm:pt modelId="{BDA76E31-85A2-4D17-AE63-4307F270D0C7}" type="pres">
      <dgm:prSet presAssocID="{7AA98433-163F-4D2F-A6ED-4F5FE8946B05}" presName="rootConnector3" presStyleLbl="asst1" presStyleIdx="0" presStyleCnt="1"/>
      <dgm:spPr/>
      <dgm:t>
        <a:bodyPr/>
        <a:p>
          <a:endParaRPr lang="en-US"/>
        </a:p>
      </dgm:t>
    </dgm:pt>
    <dgm:pt modelId="{28B1DA95-AABC-4948-BBB3-4A724BB72E26}" type="pres">
      <dgm:prSet presAssocID="{7AA98433-163F-4D2F-A6ED-4F5FE8946B05}" presName="hierChild6" presStyleCnt="0"/>
      <dgm:spPr/>
    </dgm:pt>
    <dgm:pt modelId="{49892EF8-3993-470B-8EF9-2FEF9030D51F}" type="pres">
      <dgm:prSet presAssocID="{7AA98433-163F-4D2F-A6ED-4F5FE8946B05}" presName="hierChild7" presStyleCnt="0"/>
      <dgm:spPr/>
    </dgm:pt>
  </dgm:ptLst>
  <dgm:cxnLst>
    <dgm:cxn modelId="{81BEAE12-D98F-4746-B299-D5123E06671C}" type="presOf" srcId="{7AA98433-163F-4D2F-A6ED-4F5FE8946B05}" destId="{35C0AC21-9398-4674-B769-0DEF25E40956}" srcOrd="0" destOrd="0" presId="urn:microsoft.com/office/officeart/2005/8/layout/orgChart1"/>
    <dgm:cxn modelId="{08C9DF8E-627F-49BC-8E3E-E6383B016B51}" type="presOf" srcId="{EA7988E9-E289-4462-88D6-D12F88CB9BA3}" destId="{F6090606-81CA-4FE9-A615-93CD09AFDCEE}" srcOrd="1" destOrd="0" presId="urn:microsoft.com/office/officeart/2005/8/layout/orgChart1"/>
    <dgm:cxn modelId="{D46884FD-9D0D-445E-859C-48E48F9AFD5A}" type="presOf" srcId="{EA7988E9-E289-4462-88D6-D12F88CB9BA3}" destId="{44DF7633-B1E9-4752-9A17-C3B03154CBB1}" srcOrd="0" destOrd="0" presId="urn:microsoft.com/office/officeart/2005/8/layout/orgChart1"/>
    <dgm:cxn modelId="{CDFB478F-7D30-4CD8-B53E-A41016303141}" type="presOf" srcId="{93A232BD-56CF-4656-8F11-4B2769E99994}" destId="{A3C87137-EAA6-440A-B0C8-A7666728D533}" srcOrd="0" destOrd="0" presId="urn:microsoft.com/office/officeart/2005/8/layout/orgChart1"/>
    <dgm:cxn modelId="{BD337224-73A0-41A5-8859-40E402BCB6A1}" type="presOf" srcId="{FF4D5F7F-A468-466C-9AA8-DFEBB90BC8C4}" destId="{0A7EC703-4F9D-458B-BCC9-7582BF5EDC56}" srcOrd="0" destOrd="0" presId="urn:microsoft.com/office/officeart/2005/8/layout/orgChart1"/>
    <dgm:cxn modelId="{B0BDB88D-5299-4366-8A3E-4FF7CC9B93EC}" type="presOf" srcId="{93A232BD-56CF-4656-8F11-4B2769E99994}" destId="{23AC7DD1-B30E-4FB5-B38A-5B25BE7BE4D9}" srcOrd="1" destOrd="0" presId="urn:microsoft.com/office/officeart/2005/8/layout/orgChart1"/>
    <dgm:cxn modelId="{CBE15BC6-EBEA-454E-8DFB-47F3137325B5}" type="presOf" srcId="{FF4D5F7F-A468-466C-9AA8-DFEBB90BC8C4}" destId="{BA0E66DC-C81D-4B0C-BD6A-C10FE734FB47}" srcOrd="1" destOrd="0" presId="urn:microsoft.com/office/officeart/2005/8/layout/orgChart1"/>
    <dgm:cxn modelId="{74AC4C57-E2E5-4CFF-A39C-5F995C530F23}" type="presOf" srcId="{95D2791A-8BDD-47EE-A871-4784C241C2B0}" destId="{F4B746B8-584C-4E2A-B75E-88B80FC27262}" srcOrd="0" destOrd="0" presId="urn:microsoft.com/office/officeart/2005/8/layout/orgChart1"/>
    <dgm:cxn modelId="{DEFA3D21-F9DC-4BEB-B887-B4F95A73CFB5}" srcId="{93A232BD-56CF-4656-8F11-4B2769E99994}" destId="{FF4D5F7F-A468-466C-9AA8-DFEBB90BC8C4}" srcOrd="2" destOrd="0" parTransId="{95B5E3F5-42E3-4191-948B-631909F7242E}" sibTransId="{A3D6A086-6E0A-4009-B898-F8E98A516FE3}"/>
    <dgm:cxn modelId="{23A91EB0-5FC5-4204-B053-37DCF63BFE73}" type="presOf" srcId="{897917B6-4F6C-430F-A3D0-AAF0EB753765}" destId="{C240760E-1038-4D7C-8397-309931A44CA9}" srcOrd="0" destOrd="0" presId="urn:microsoft.com/office/officeart/2005/8/layout/orgChart1"/>
    <dgm:cxn modelId="{0D8AB79F-0CF5-4B48-9C43-67C364B86F19}" type="presOf" srcId="{7AA98433-163F-4D2F-A6ED-4F5FE8946B05}" destId="{BDA76E31-85A2-4D17-AE63-4307F270D0C7}" srcOrd="1" destOrd="0" presId="urn:microsoft.com/office/officeart/2005/8/layout/orgChart1"/>
    <dgm:cxn modelId="{E0621345-1058-4DAC-BE71-9B5878F8B1A7}" srcId="{93A232BD-56CF-4656-8F11-4B2769E99994}" destId="{7AA98433-163F-4D2F-A6ED-4F5FE8946B05}" srcOrd="0" destOrd="0" parTransId="{1EADB5A2-E447-4297-9452-ADED7383E7C4}" sibTransId="{1F99A0A8-278D-43D9-A130-68F4352E6FE8}"/>
    <dgm:cxn modelId="{14FF6C4E-8205-45C8-AABA-18E1B44EFBDE}" srcId="{93A232BD-56CF-4656-8F11-4B2769E99994}" destId="{95D2791A-8BDD-47EE-A871-4784C241C2B0}" srcOrd="3" destOrd="0" parTransId="{897917B6-4F6C-430F-A3D0-AAF0EB753765}" sibTransId="{38623422-04FD-4E4C-8D84-D9DBECC862FC}"/>
    <dgm:cxn modelId="{5419F49D-2C2F-4874-BDD5-B4255DD3E8CF}" srcId="{D143F868-88E0-467C-A8D8-E7487EDF40CE}" destId="{93A232BD-56CF-4656-8F11-4B2769E99994}" srcOrd="0" destOrd="0" parTransId="{0207AAAF-674B-4A66-A604-4EF7E57258E5}" sibTransId="{8C7C095E-EAF1-40D4-870B-102D46239346}"/>
    <dgm:cxn modelId="{591DBBF7-58B9-43C3-89E3-0D2918753DFC}" type="presOf" srcId="{1EADB5A2-E447-4297-9452-ADED7383E7C4}" destId="{F921A264-4768-4A08-8B70-AA2CFD735068}" srcOrd="0" destOrd="0" presId="urn:microsoft.com/office/officeart/2005/8/layout/orgChart1"/>
    <dgm:cxn modelId="{80952875-E43E-493B-83BD-79BF8E7E209B}" type="presOf" srcId="{95D2791A-8BDD-47EE-A871-4784C241C2B0}" destId="{8ACCBABD-D546-4E93-A3DC-B0EBBA78FBFA}" srcOrd="1" destOrd="0" presId="urn:microsoft.com/office/officeart/2005/8/layout/orgChart1"/>
    <dgm:cxn modelId="{C0C70906-82CA-45F5-8D69-8B982A56DEE1}" type="presOf" srcId="{E25BEC6A-338F-4537-9B3B-003AA7225DD9}" destId="{EDFD691C-4CFF-4D7C-83BE-9323AFF25EC5}" srcOrd="0" destOrd="0" presId="urn:microsoft.com/office/officeart/2005/8/layout/orgChart1"/>
    <dgm:cxn modelId="{9CEC6F9D-D754-4809-BD51-F98D4C0494B4}" srcId="{93A232BD-56CF-4656-8F11-4B2769E99994}" destId="{EA7988E9-E289-4462-88D6-D12F88CB9BA3}" srcOrd="1" destOrd="0" parTransId="{E25BEC6A-338F-4537-9B3B-003AA7225DD9}" sibTransId="{0ABC2555-4D71-41E7-B31E-4EB7190EE840}"/>
    <dgm:cxn modelId="{6026FFF2-742D-413F-AC6B-CC891FFDF7AD}" type="presOf" srcId="{D143F868-88E0-467C-A8D8-E7487EDF40CE}" destId="{331D5CBF-B42E-4FBF-8FC6-9A2A65CBE928}" srcOrd="0" destOrd="0" presId="urn:microsoft.com/office/officeart/2005/8/layout/orgChart1"/>
    <dgm:cxn modelId="{F237ABF1-5A2E-4679-AABB-0038B3951C37}" type="presOf" srcId="{95B5E3F5-42E3-4191-948B-631909F7242E}" destId="{BF7AAFE5-B4A7-420F-AB07-27142D4CB734}" srcOrd="0" destOrd="0" presId="urn:microsoft.com/office/officeart/2005/8/layout/orgChart1"/>
    <dgm:cxn modelId="{037B2FA9-2BBE-4B87-8622-D0C32178A900}" type="presParOf" srcId="{331D5CBF-B42E-4FBF-8FC6-9A2A65CBE928}" destId="{C509A2A0-503B-46A0-8D09-D7B6F1B1DF71}" srcOrd="0" destOrd="0" presId="urn:microsoft.com/office/officeart/2005/8/layout/orgChart1"/>
    <dgm:cxn modelId="{A128856D-8CBF-47D4-A769-DE80E8B6F4C6}" type="presParOf" srcId="{C509A2A0-503B-46A0-8D09-D7B6F1B1DF71}" destId="{9D2DF8D2-61A8-478F-8C5B-EB8CFD4CBB94}" srcOrd="0" destOrd="0" presId="urn:microsoft.com/office/officeart/2005/8/layout/orgChart1"/>
    <dgm:cxn modelId="{EB6A9B7E-0064-4A69-9B4C-4C736D16A91C}" type="presParOf" srcId="{9D2DF8D2-61A8-478F-8C5B-EB8CFD4CBB94}" destId="{A3C87137-EAA6-440A-B0C8-A7666728D533}" srcOrd="0" destOrd="0" presId="urn:microsoft.com/office/officeart/2005/8/layout/orgChart1"/>
    <dgm:cxn modelId="{E25D11B0-C71B-4BAC-B93F-1964EA09580A}" type="presParOf" srcId="{9D2DF8D2-61A8-478F-8C5B-EB8CFD4CBB94}" destId="{23AC7DD1-B30E-4FB5-B38A-5B25BE7BE4D9}" srcOrd="1" destOrd="0" presId="urn:microsoft.com/office/officeart/2005/8/layout/orgChart1"/>
    <dgm:cxn modelId="{F259B6A1-834E-474C-82FB-8286AB5A2216}" type="presParOf" srcId="{C509A2A0-503B-46A0-8D09-D7B6F1B1DF71}" destId="{E2FAD1A2-85BE-4D8C-A412-E53DA52F3D66}" srcOrd="1" destOrd="0" presId="urn:microsoft.com/office/officeart/2005/8/layout/orgChart1"/>
    <dgm:cxn modelId="{98099481-1721-4F2A-9236-709000724081}" type="presParOf" srcId="{E2FAD1A2-85BE-4D8C-A412-E53DA52F3D66}" destId="{EDFD691C-4CFF-4D7C-83BE-9323AFF25EC5}" srcOrd="0" destOrd="0" presId="urn:microsoft.com/office/officeart/2005/8/layout/orgChart1"/>
    <dgm:cxn modelId="{EC99AAB5-D639-4D1B-AA73-984FE1EB7A7E}" type="presParOf" srcId="{E2FAD1A2-85BE-4D8C-A412-E53DA52F3D66}" destId="{72029D09-BAFF-433B-B1C6-044CC636F1CD}" srcOrd="1" destOrd="0" presId="urn:microsoft.com/office/officeart/2005/8/layout/orgChart1"/>
    <dgm:cxn modelId="{A9FB759F-B202-4356-8C41-5C1D94622F66}" type="presParOf" srcId="{72029D09-BAFF-433B-B1C6-044CC636F1CD}" destId="{57712336-669B-4806-9CF7-CB4814310643}" srcOrd="0" destOrd="0" presId="urn:microsoft.com/office/officeart/2005/8/layout/orgChart1"/>
    <dgm:cxn modelId="{200B8CE6-E7C0-44D8-8B93-66B3B94EA015}" type="presParOf" srcId="{57712336-669B-4806-9CF7-CB4814310643}" destId="{44DF7633-B1E9-4752-9A17-C3B03154CBB1}" srcOrd="0" destOrd="0" presId="urn:microsoft.com/office/officeart/2005/8/layout/orgChart1"/>
    <dgm:cxn modelId="{C45A5C85-8775-439C-8BD6-009EF7800790}" type="presParOf" srcId="{57712336-669B-4806-9CF7-CB4814310643}" destId="{F6090606-81CA-4FE9-A615-93CD09AFDCEE}" srcOrd="1" destOrd="0" presId="urn:microsoft.com/office/officeart/2005/8/layout/orgChart1"/>
    <dgm:cxn modelId="{F3AE9CFF-ADC0-46B1-BFDD-E830CAC56FB6}" type="presParOf" srcId="{72029D09-BAFF-433B-B1C6-044CC636F1CD}" destId="{F9C24B20-79B5-4E2A-812A-9D291BF91DB6}" srcOrd="1" destOrd="0" presId="urn:microsoft.com/office/officeart/2005/8/layout/orgChart1"/>
    <dgm:cxn modelId="{F9B660F5-1AF3-44C2-BDC3-A54AB28E3785}" type="presParOf" srcId="{72029D09-BAFF-433B-B1C6-044CC636F1CD}" destId="{A4689D14-E516-4EA6-BA66-E56B73E6037F}" srcOrd="2" destOrd="0" presId="urn:microsoft.com/office/officeart/2005/8/layout/orgChart1"/>
    <dgm:cxn modelId="{FE57542C-8AAD-4E7B-A55D-3C8B1FE8530A}" type="presParOf" srcId="{E2FAD1A2-85BE-4D8C-A412-E53DA52F3D66}" destId="{BF7AAFE5-B4A7-420F-AB07-27142D4CB734}" srcOrd="2" destOrd="0" presId="urn:microsoft.com/office/officeart/2005/8/layout/orgChart1"/>
    <dgm:cxn modelId="{3DE31B7D-FE2D-400A-892C-8E75A50F8B5D}" type="presParOf" srcId="{E2FAD1A2-85BE-4D8C-A412-E53DA52F3D66}" destId="{CFD34099-E615-44B9-8547-1FC84E9B3D0F}" srcOrd="3" destOrd="0" presId="urn:microsoft.com/office/officeart/2005/8/layout/orgChart1"/>
    <dgm:cxn modelId="{C426A794-5C6A-4DC9-A120-9D7542BFD827}" type="presParOf" srcId="{CFD34099-E615-44B9-8547-1FC84E9B3D0F}" destId="{1EF62A9F-482A-4223-B9A0-F30020A5CD24}" srcOrd="0" destOrd="0" presId="urn:microsoft.com/office/officeart/2005/8/layout/orgChart1"/>
    <dgm:cxn modelId="{8464C83A-F1AB-4B4B-845E-18615929CE61}" type="presParOf" srcId="{1EF62A9F-482A-4223-B9A0-F30020A5CD24}" destId="{0A7EC703-4F9D-458B-BCC9-7582BF5EDC56}" srcOrd="0" destOrd="0" presId="urn:microsoft.com/office/officeart/2005/8/layout/orgChart1"/>
    <dgm:cxn modelId="{EFBF2696-F858-4FCC-B67F-F43A91A088B5}" type="presParOf" srcId="{1EF62A9F-482A-4223-B9A0-F30020A5CD24}" destId="{BA0E66DC-C81D-4B0C-BD6A-C10FE734FB47}" srcOrd="1" destOrd="0" presId="urn:microsoft.com/office/officeart/2005/8/layout/orgChart1"/>
    <dgm:cxn modelId="{4EFE2601-D49E-4EC5-B0D7-CC2BA5C3E27F}" type="presParOf" srcId="{CFD34099-E615-44B9-8547-1FC84E9B3D0F}" destId="{1C69F15A-BB13-4ECD-A7AD-94392771515B}" srcOrd="1" destOrd="0" presId="urn:microsoft.com/office/officeart/2005/8/layout/orgChart1"/>
    <dgm:cxn modelId="{1B00D445-CDC2-47C3-BBEE-F322A27BBA18}" type="presParOf" srcId="{CFD34099-E615-44B9-8547-1FC84E9B3D0F}" destId="{A9A4A611-2395-4A78-A56E-0F62A8E4CCD6}" srcOrd="2" destOrd="0" presId="urn:microsoft.com/office/officeart/2005/8/layout/orgChart1"/>
    <dgm:cxn modelId="{DE2F0BFF-6FEF-44DE-8D21-E9AFA5BD5CB9}" type="presParOf" srcId="{E2FAD1A2-85BE-4D8C-A412-E53DA52F3D66}" destId="{C240760E-1038-4D7C-8397-309931A44CA9}" srcOrd="4" destOrd="0" presId="urn:microsoft.com/office/officeart/2005/8/layout/orgChart1"/>
    <dgm:cxn modelId="{A5D72403-6A7B-4E76-AB2B-9525D78DC997}" type="presParOf" srcId="{E2FAD1A2-85BE-4D8C-A412-E53DA52F3D66}" destId="{AE6A46A2-8305-4DEF-904D-CC457D88DD19}" srcOrd="5" destOrd="0" presId="urn:microsoft.com/office/officeart/2005/8/layout/orgChart1"/>
    <dgm:cxn modelId="{EE0F13A6-BDCC-407C-8257-8F2BEA7C79F9}" type="presParOf" srcId="{AE6A46A2-8305-4DEF-904D-CC457D88DD19}" destId="{6E6E8DA3-29BA-4BCB-8D02-09DB74C18208}" srcOrd="0" destOrd="0" presId="urn:microsoft.com/office/officeart/2005/8/layout/orgChart1"/>
    <dgm:cxn modelId="{A3FED9CB-165F-489E-B3E4-5A7D6A4D94E4}" type="presParOf" srcId="{6E6E8DA3-29BA-4BCB-8D02-09DB74C18208}" destId="{F4B746B8-584C-4E2A-B75E-88B80FC27262}" srcOrd="0" destOrd="0" presId="urn:microsoft.com/office/officeart/2005/8/layout/orgChart1"/>
    <dgm:cxn modelId="{8D9D23D2-3052-4511-8058-CB21F0EBE60B}" type="presParOf" srcId="{6E6E8DA3-29BA-4BCB-8D02-09DB74C18208}" destId="{8ACCBABD-D546-4E93-A3DC-B0EBBA78FBFA}" srcOrd="1" destOrd="0" presId="urn:microsoft.com/office/officeart/2005/8/layout/orgChart1"/>
    <dgm:cxn modelId="{840F4613-5911-4024-8CA6-9B249F66BB3E}" type="presParOf" srcId="{AE6A46A2-8305-4DEF-904D-CC457D88DD19}" destId="{E86359C2-A101-499C-8174-7D2B1ECD70C5}" srcOrd="1" destOrd="0" presId="urn:microsoft.com/office/officeart/2005/8/layout/orgChart1"/>
    <dgm:cxn modelId="{D2736017-3F2F-4E20-95E9-8A6D2F1E21C5}" type="presParOf" srcId="{AE6A46A2-8305-4DEF-904D-CC457D88DD19}" destId="{4FD83C0D-0198-466C-9C62-DE7A0575CF92}" srcOrd="2" destOrd="0" presId="urn:microsoft.com/office/officeart/2005/8/layout/orgChart1"/>
    <dgm:cxn modelId="{E62D9571-2062-4620-B585-2C70783F1704}" type="presParOf" srcId="{C509A2A0-503B-46A0-8D09-D7B6F1B1DF71}" destId="{05068FB5-F647-4F81-9BDC-655FBEF1A777}" srcOrd="2" destOrd="0" presId="urn:microsoft.com/office/officeart/2005/8/layout/orgChart1"/>
    <dgm:cxn modelId="{57365DDD-6921-4D60-A079-4949AECBEDC6}" type="presParOf" srcId="{05068FB5-F647-4F81-9BDC-655FBEF1A777}" destId="{F921A264-4768-4A08-8B70-AA2CFD735068}" srcOrd="0" destOrd="0" presId="urn:microsoft.com/office/officeart/2005/8/layout/orgChart1"/>
    <dgm:cxn modelId="{15ACD3FF-27CB-487F-94C0-F450C8BD2943}" type="presParOf" srcId="{05068FB5-F647-4F81-9BDC-655FBEF1A777}" destId="{C9891518-B653-4DF6-A7A3-37982E99764C}" srcOrd="1" destOrd="0" presId="urn:microsoft.com/office/officeart/2005/8/layout/orgChart1"/>
    <dgm:cxn modelId="{E59DFE60-8367-4D66-85A1-F9098D820043}" type="presParOf" srcId="{C9891518-B653-4DF6-A7A3-37982E99764C}" destId="{43E8E032-FFC9-4D21-BA40-6FA72721D9E9}" srcOrd="0" destOrd="0" presId="urn:microsoft.com/office/officeart/2005/8/layout/orgChart1"/>
    <dgm:cxn modelId="{7B53D284-0EA8-4A31-9B12-C217EE98EBCE}" type="presParOf" srcId="{43E8E032-FFC9-4D21-BA40-6FA72721D9E9}" destId="{35C0AC21-9398-4674-B769-0DEF25E40956}" srcOrd="0" destOrd="0" presId="urn:microsoft.com/office/officeart/2005/8/layout/orgChart1"/>
    <dgm:cxn modelId="{F1328575-A3A8-401F-A871-D4A063A262C2}" type="presParOf" srcId="{43E8E032-FFC9-4D21-BA40-6FA72721D9E9}" destId="{BDA76E31-85A2-4D17-AE63-4307F270D0C7}" srcOrd="1" destOrd="0" presId="urn:microsoft.com/office/officeart/2005/8/layout/orgChart1"/>
    <dgm:cxn modelId="{3F4B5EB4-5CC7-49F6-8DB8-590A2A77FBE9}" type="presParOf" srcId="{C9891518-B653-4DF6-A7A3-37982E99764C}" destId="{28B1DA95-AABC-4948-BBB3-4A724BB72E26}" srcOrd="1" destOrd="0" presId="urn:microsoft.com/office/officeart/2005/8/layout/orgChart1"/>
    <dgm:cxn modelId="{7A34CA15-18B5-4D94-B1DF-8EE706B9571B}" type="presParOf" srcId="{C9891518-B653-4DF6-A7A3-37982E99764C}" destId="{49892EF8-3993-470B-8EF9-2FEF9030D51F}"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21A264-4768-4A08-8B70-AA2CFD735068}">
      <dsp:nvSpPr>
        <dsp:cNvPr id="0" name=""/>
        <dsp:cNvSpPr/>
      </dsp:nvSpPr>
      <dsp:spPr>
        <a:xfrm>
          <a:off x="2255086" y="822137"/>
          <a:ext cx="366740" cy="666073"/>
        </a:xfrm>
        <a:custGeom>
          <a:avLst/>
          <a:gdLst/>
          <a:ahLst/>
          <a:cxnLst/>
          <a:rect l="0" t="0" r="0" b="0"/>
          <a:pathLst>
            <a:path>
              <a:moveTo>
                <a:pt x="365858" y="0"/>
              </a:moveTo>
              <a:lnTo>
                <a:pt x="365858" y="664472"/>
              </a:lnTo>
              <a:lnTo>
                <a:pt x="0" y="66447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240760E-1038-4D7C-8397-309931A44CA9}">
      <dsp:nvSpPr>
        <dsp:cNvPr id="0" name=""/>
        <dsp:cNvSpPr/>
      </dsp:nvSpPr>
      <dsp:spPr>
        <a:xfrm>
          <a:off x="2621826" y="822137"/>
          <a:ext cx="1451885" cy="1433298"/>
        </a:xfrm>
        <a:custGeom>
          <a:avLst/>
          <a:gdLst/>
          <a:ahLst/>
          <a:cxnLst/>
          <a:rect l="0" t="0" r="0" b="0"/>
          <a:pathLst>
            <a:path>
              <a:moveTo>
                <a:pt x="0" y="0"/>
              </a:moveTo>
              <a:lnTo>
                <a:pt x="0" y="1284989"/>
              </a:lnTo>
              <a:lnTo>
                <a:pt x="1448396" y="1284989"/>
              </a:lnTo>
              <a:lnTo>
                <a:pt x="1448396" y="1429853"/>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BF7AAFE5-B4A7-420F-AB07-27142D4CB734}">
      <dsp:nvSpPr>
        <dsp:cNvPr id="0" name=""/>
        <dsp:cNvSpPr/>
      </dsp:nvSpPr>
      <dsp:spPr>
        <a:xfrm>
          <a:off x="2400300" y="822137"/>
          <a:ext cx="221526" cy="1433298"/>
        </a:xfrm>
        <a:custGeom>
          <a:avLst/>
          <a:gdLst/>
          <a:ahLst/>
          <a:cxnLst/>
          <a:rect l="0" t="0" r="0" b="0"/>
          <a:pathLst>
            <a:path>
              <a:moveTo>
                <a:pt x="220994" y="0"/>
              </a:moveTo>
              <a:lnTo>
                <a:pt x="220994" y="1284989"/>
              </a:lnTo>
              <a:lnTo>
                <a:pt x="0" y="1284989"/>
              </a:lnTo>
              <a:lnTo>
                <a:pt x="0" y="1429853"/>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DFD691C-4CFF-4D7C-83BE-9323AFF25EC5}">
      <dsp:nvSpPr>
        <dsp:cNvPr id="0" name=""/>
        <dsp:cNvSpPr/>
      </dsp:nvSpPr>
      <dsp:spPr>
        <a:xfrm>
          <a:off x="726887" y="822137"/>
          <a:ext cx="1894938" cy="1433298"/>
        </a:xfrm>
        <a:custGeom>
          <a:avLst/>
          <a:gdLst/>
          <a:ahLst/>
          <a:cxnLst/>
          <a:rect l="0" t="0" r="0" b="0"/>
          <a:pathLst>
            <a:path>
              <a:moveTo>
                <a:pt x="1890384" y="0"/>
              </a:moveTo>
              <a:lnTo>
                <a:pt x="1890384" y="1284989"/>
              </a:lnTo>
              <a:lnTo>
                <a:pt x="0" y="1284989"/>
              </a:lnTo>
              <a:lnTo>
                <a:pt x="0" y="1429853"/>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3C87137-EAA6-440A-B0C8-A7666728D533}">
      <dsp:nvSpPr>
        <dsp:cNvPr id="0" name=""/>
        <dsp:cNvSpPr/>
      </dsp:nvSpPr>
      <dsp:spPr>
        <a:xfrm>
          <a:off x="1596820" y="101892"/>
          <a:ext cx="2050013" cy="72024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perlindungan hukum</a:t>
          </a:r>
        </a:p>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-efektifitas penegakan </a:t>
          </a:r>
        </a:p>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implementasi aturan </a:t>
          </a:r>
        </a:p>
      </dsp:txBody>
      <dsp:txXfrm>
        <a:off x="1596820" y="101892"/>
        <a:ext cx="2050013" cy="720244"/>
      </dsp:txXfrm>
    </dsp:sp>
    <dsp:sp modelId="{44DF7633-B1E9-4752-9A17-C3B03154CBB1}">
      <dsp:nvSpPr>
        <dsp:cNvPr id="0" name=""/>
        <dsp:cNvSpPr/>
      </dsp:nvSpPr>
      <dsp:spPr>
        <a:xfrm>
          <a:off x="35395" y="2255436"/>
          <a:ext cx="1382985" cy="69149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faktor sosial</a:t>
          </a:r>
        </a:p>
      </dsp:txBody>
      <dsp:txXfrm>
        <a:off x="35395" y="2255436"/>
        <a:ext cx="1382985" cy="691492"/>
      </dsp:txXfrm>
    </dsp:sp>
    <dsp:sp modelId="{0A7EC703-4F9D-458B-BCC9-7582BF5EDC56}">
      <dsp:nvSpPr>
        <dsp:cNvPr id="0" name=""/>
        <dsp:cNvSpPr/>
      </dsp:nvSpPr>
      <dsp:spPr>
        <a:xfrm>
          <a:off x="1708807" y="2255436"/>
          <a:ext cx="1382985" cy="69149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faktor pendiidkan</a:t>
          </a:r>
        </a:p>
      </dsp:txBody>
      <dsp:txXfrm>
        <a:off x="1708807" y="2255436"/>
        <a:ext cx="1382985" cy="691492"/>
      </dsp:txXfrm>
    </dsp:sp>
    <dsp:sp modelId="{F4B746B8-584C-4E2A-B75E-88B80FC27262}">
      <dsp:nvSpPr>
        <dsp:cNvPr id="0" name=""/>
        <dsp:cNvSpPr/>
      </dsp:nvSpPr>
      <dsp:spPr>
        <a:xfrm>
          <a:off x="3382219" y="2255436"/>
          <a:ext cx="1382985" cy="69149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faktor ekonomi</a:t>
          </a:r>
        </a:p>
      </dsp:txBody>
      <dsp:txXfrm>
        <a:off x="3382219" y="2255436"/>
        <a:ext cx="1382985" cy="691492"/>
      </dsp:txXfrm>
    </dsp:sp>
    <dsp:sp modelId="{35C0AC21-9398-4674-B769-0DEF25E40956}">
      <dsp:nvSpPr>
        <dsp:cNvPr id="0" name=""/>
        <dsp:cNvSpPr/>
      </dsp:nvSpPr>
      <dsp:spPr>
        <a:xfrm>
          <a:off x="224615" y="1011413"/>
          <a:ext cx="2030471" cy="95359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kesadaran pengendara </a:t>
          </a:r>
        </a:p>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pengetahuan aturan lalu lintas</a:t>
          </a:r>
        </a:p>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--kepatuhan terhadap aturan </a:t>
          </a:r>
        </a:p>
        <a:p>
          <a:pPr lvl="0" algn="ctr" defTabSz="533400">
            <a:lnSpc>
              <a:spcPct val="90000"/>
            </a:lnSpc>
            <a:spcBef>
              <a:spcPct val="0"/>
            </a:spcBef>
            <a:spcAft>
              <a:spcPct val="35000"/>
            </a:spcAft>
            <a:buNone/>
          </a:pPr>
          <a:r>
            <a:rPr lang="en-ID"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aturan </a:t>
          </a:r>
        </a:p>
      </dsp:txBody>
      <dsp:txXfrm>
        <a:off x="224615" y="1011413"/>
        <a:ext cx="2030471" cy="95359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1048</Words>
  <Characters>7238</Characters>
  <Lines>59</Lines>
  <Paragraphs>16</Paragraphs>
  <TotalTime>2</TotalTime>
  <ScaleCrop>false</ScaleCrop>
  <LinksUpToDate>false</LinksUpToDate>
  <CharactersWithSpaces>8279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2026-09-10T07:11:00Z</dcterms:created>
  <dc:creator>user</dc:creator>
  <cp:lastModifiedBy>Administrator</cp:lastModifiedBy>
  <dcterms:modified xsi:type="dcterms:W3CDTF">2026-09-22T02:51:20Z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E9D04C06D9324A989D54AD84D07989FE_13</vt:lpwstr>
  </property>
</Properties>
</file>