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spacing w:before="0"/>
        <w:ind w:left="430" w:right="0" w:firstLine="0"/>
        <w:jc w:val="center"/>
        <w:rPr>
          <w:b/>
          <w:sz w:val="24"/>
        </w:rPr>
      </w:pPr>
      <w:r>
        <w:rPr>
          <w:b/>
          <w:sz w:val="24"/>
        </w:rPr>
        <w:t>BAB</w:t>
      </w:r>
      <w:r>
        <w:rPr>
          <w:b/>
          <w:spacing w:val="-3"/>
          <w:sz w:val="24"/>
        </w:rPr>
        <w:t> </w:t>
      </w:r>
      <w:r>
        <w:rPr>
          <w:b/>
          <w:spacing w:val="-10"/>
          <w:sz w:val="24"/>
        </w:rPr>
        <w:t>V</w:t>
      </w:r>
    </w:p>
    <w:p>
      <w:pPr>
        <w:spacing w:before="272"/>
        <w:ind w:left="430" w:right="2" w:firstLine="0"/>
        <w:jc w:val="center"/>
        <w:rPr>
          <w:b/>
          <w:sz w:val="24"/>
        </w:rPr>
      </w:pPr>
      <w:r>
        <w:rPr>
          <w:b/>
          <w:sz w:val="24"/>
        </w:rPr>
        <w:t>KESIMPULAN</w:t>
      </w:r>
      <w:r>
        <w:rPr>
          <w:b/>
          <w:spacing w:val="-2"/>
          <w:sz w:val="24"/>
        </w:rPr>
        <w:t> </w:t>
      </w:r>
      <w:r>
        <w:rPr>
          <w:b/>
          <w:sz w:val="24"/>
        </w:rPr>
        <w:t>DAN</w:t>
      </w:r>
      <w:r>
        <w:rPr>
          <w:b/>
          <w:spacing w:val="-2"/>
          <w:sz w:val="24"/>
        </w:rPr>
        <w:t> SARAN</w:t>
      </w:r>
    </w:p>
    <w:p>
      <w:pPr>
        <w:pStyle w:val="BodyText"/>
        <w:rPr>
          <w:b/>
        </w:rPr>
      </w:pPr>
    </w:p>
    <w:p>
      <w:pPr>
        <w:pStyle w:val="BodyText"/>
        <w:spacing w:before="7"/>
        <w:rPr>
          <w:b/>
        </w:rPr>
      </w:pPr>
    </w:p>
    <w:p>
      <w:pPr>
        <w:pStyle w:val="ListParagraph"/>
        <w:numPr>
          <w:ilvl w:val="0"/>
          <w:numId w:val="1"/>
        </w:numPr>
        <w:tabs>
          <w:tab w:pos="1286" w:val="left" w:leader="none"/>
        </w:tabs>
        <w:spacing w:line="240" w:lineRule="auto" w:before="0" w:after="0"/>
        <w:ind w:left="1286" w:right="0" w:hanging="360"/>
        <w:jc w:val="both"/>
        <w:rPr>
          <w:b/>
          <w:sz w:val="24"/>
        </w:rPr>
      </w:pPr>
      <w:r>
        <w:rPr>
          <w:b/>
          <w:spacing w:val="-2"/>
          <w:sz w:val="24"/>
        </w:rPr>
        <w:t>Kesimpulan</w:t>
      </w:r>
    </w:p>
    <w:p>
      <w:pPr>
        <w:pStyle w:val="BodyText"/>
        <w:spacing w:line="480" w:lineRule="auto" w:before="272"/>
        <w:ind w:left="566" w:right="147" w:firstLine="720"/>
        <w:jc w:val="both"/>
      </w:pPr>
      <w:r>
        <w:rPr/>
        <w:drawing>
          <wp:anchor distT="0" distB="0" distL="0" distR="0" allowOverlap="1" layoutInCell="1" locked="0" behindDoc="1" simplePos="0" relativeHeight="487558144">
            <wp:simplePos x="0" y="0"/>
            <wp:positionH relativeFrom="page">
              <wp:posOffset>1456944</wp:posOffset>
            </wp:positionH>
            <wp:positionV relativeFrom="paragraph">
              <wp:posOffset>547967</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Berdasarkan hasil penelitian pengaruh motivasi dan pengetahuan </w:t>
      </w:r>
      <w:r>
        <w:rPr>
          <w:spacing w:val="-2"/>
        </w:rPr>
        <w:t>perpajakan</w:t>
      </w:r>
      <w:r>
        <w:rPr>
          <w:spacing w:val="-6"/>
        </w:rPr>
        <w:t> </w:t>
      </w:r>
      <w:r>
        <w:rPr>
          <w:spacing w:val="-2"/>
        </w:rPr>
        <w:t>terhadap minat mahasiswa</w:t>
      </w:r>
      <w:r>
        <w:rPr>
          <w:spacing w:val="-8"/>
        </w:rPr>
        <w:t> </w:t>
      </w:r>
      <w:r>
        <w:rPr>
          <w:spacing w:val="-2"/>
        </w:rPr>
        <w:t>Akuntansi</w:t>
      </w:r>
      <w:r>
        <w:rPr>
          <w:spacing w:val="-6"/>
        </w:rPr>
        <w:t> </w:t>
      </w:r>
      <w:r>
        <w:rPr>
          <w:spacing w:val="-2"/>
        </w:rPr>
        <w:t>dalam mengikuti</w:t>
      </w:r>
      <w:r>
        <w:rPr>
          <w:spacing w:val="-12"/>
        </w:rPr>
        <w:t> </w:t>
      </w:r>
      <w:r>
        <w:rPr>
          <w:spacing w:val="-2"/>
        </w:rPr>
        <w:t>sertifikasi brevet </w:t>
      </w:r>
      <w:r>
        <w:rPr/>
        <w:t>pajak AB, maka kesimpulan penelitian ini dapat ditarik sebagai berikut:</w:t>
      </w:r>
    </w:p>
    <w:p>
      <w:pPr>
        <w:pStyle w:val="ListParagraph"/>
        <w:numPr>
          <w:ilvl w:val="1"/>
          <w:numId w:val="1"/>
        </w:numPr>
        <w:tabs>
          <w:tab w:pos="1647" w:val="left" w:leader="none"/>
        </w:tabs>
        <w:spacing w:line="480" w:lineRule="auto" w:before="0" w:after="0"/>
        <w:ind w:left="1647" w:right="147" w:hanging="360"/>
        <w:jc w:val="both"/>
        <w:rPr>
          <w:sz w:val="24"/>
        </w:rPr>
      </w:pPr>
      <w:r>
        <w:rPr>
          <w:spacing w:val="-4"/>
          <w:sz w:val="24"/>
        </w:rPr>
        <w:t> </w:t>
      </w:r>
      <w:r>
        <w:rPr>
          <w:sz w:val="24"/>
        </w:rPr>
        <w:t>Motivasi</w:t>
      </w:r>
      <w:r>
        <w:rPr>
          <w:spacing w:val="-8"/>
          <w:sz w:val="24"/>
        </w:rPr>
        <w:t> </w:t>
      </w:r>
      <w:r>
        <w:rPr>
          <w:sz w:val="24"/>
        </w:rPr>
        <w:t>berpengaruh</w:t>
      </w:r>
      <w:r>
        <w:rPr>
          <w:spacing w:val="-13"/>
          <w:sz w:val="24"/>
        </w:rPr>
        <w:t> </w:t>
      </w:r>
      <w:r>
        <w:rPr>
          <w:sz w:val="24"/>
        </w:rPr>
        <w:t>positif</w:t>
      </w:r>
      <w:r>
        <w:rPr>
          <w:spacing w:val="-11"/>
          <w:sz w:val="24"/>
        </w:rPr>
        <w:t> </w:t>
      </w:r>
      <w:r>
        <w:rPr>
          <w:sz w:val="24"/>
        </w:rPr>
        <w:t>dan</w:t>
      </w:r>
      <w:r>
        <w:rPr>
          <w:spacing w:val="-13"/>
          <w:sz w:val="24"/>
        </w:rPr>
        <w:t> </w:t>
      </w:r>
      <w:r>
        <w:rPr>
          <w:sz w:val="24"/>
        </w:rPr>
        <w:t>signifikan</w:t>
      </w:r>
      <w:r>
        <w:rPr>
          <w:spacing w:val="-13"/>
          <w:sz w:val="24"/>
        </w:rPr>
        <w:t> </w:t>
      </w:r>
      <w:r>
        <w:rPr>
          <w:sz w:val="24"/>
        </w:rPr>
        <w:t>terhadap</w:t>
      </w:r>
      <w:r>
        <w:rPr>
          <w:spacing w:val="-4"/>
          <w:sz w:val="24"/>
        </w:rPr>
        <w:t> </w:t>
      </w:r>
      <w:r>
        <w:rPr>
          <w:sz w:val="24"/>
        </w:rPr>
        <w:t>minat mahasiswa Akuntansi. Hal ini mengindikasikan bahwa semakin tinggi motivasi maka semakin tinggi pula minat mahasiswa mengikuti pendidikan brevet pajak.</w:t>
      </w:r>
    </w:p>
    <w:p>
      <w:pPr>
        <w:pStyle w:val="ListParagraph"/>
        <w:numPr>
          <w:ilvl w:val="1"/>
          <w:numId w:val="1"/>
        </w:numPr>
        <w:tabs>
          <w:tab w:pos="1647" w:val="left" w:leader="none"/>
        </w:tabs>
        <w:spacing w:line="480" w:lineRule="auto" w:before="1" w:after="0"/>
        <w:ind w:left="1647" w:right="142" w:hanging="360"/>
        <w:jc w:val="both"/>
        <w:rPr>
          <w:sz w:val="24"/>
        </w:rPr>
      </w:pPr>
      <w:r>
        <w:rPr>
          <w:sz w:val="24"/>
        </w:rPr>
        <w:t>Pengetahuan Perpajakan berpengaruh positif dan signifikan terhadap minat mahasiswa. Hal ini mengindikasikan bahwa semakin tinggi tingkat pengetahuan mahasiswa tentang perpajakan, maka semakin besar minat mahasiswa untuk mempelajari, memahami, dan terlibat dalam bidang perpajakan.</w:t>
      </w:r>
    </w:p>
    <w:p>
      <w:pPr>
        <w:pStyle w:val="ListParagraph"/>
        <w:numPr>
          <w:ilvl w:val="1"/>
          <w:numId w:val="1"/>
        </w:numPr>
        <w:tabs>
          <w:tab w:pos="1647" w:val="left" w:leader="none"/>
        </w:tabs>
        <w:spacing w:line="480" w:lineRule="auto" w:before="1" w:after="0"/>
        <w:ind w:left="1647" w:right="143" w:hanging="360"/>
        <w:jc w:val="both"/>
        <w:rPr>
          <w:sz w:val="24"/>
        </w:rPr>
      </w:pPr>
      <w:r>
        <w:rPr>
          <w:sz w:val="24"/>
        </w:rPr>
        <w:t>Secara simultan Motivasi dan Pengetahuan Perpajakan berpengaruh secara bersama-sama terhadap minat mahasiswa. Besarnya kontribusi kedua variabel independen terhadap minat mahasiswa mencapai</w:t>
      </w:r>
      <w:r>
        <w:rPr>
          <w:spacing w:val="-4"/>
          <w:sz w:val="24"/>
        </w:rPr>
        <w:t> </w:t>
      </w:r>
      <w:r>
        <w:rPr>
          <w:sz w:val="24"/>
        </w:rPr>
        <w:t>59 %. Hal ini menunjukkan bahwa motivasi dan pengetahuan perpajakan secara bersama-sama memiliki peran yang kuat dalam mempengaruhi minat mahasiswa terhadap bidang perpajakan.</w:t>
      </w:r>
    </w:p>
    <w:p>
      <w:pPr>
        <w:pStyle w:val="BodyText"/>
      </w:pPr>
    </w:p>
    <w:p>
      <w:pPr>
        <w:pStyle w:val="BodyText"/>
      </w:pPr>
    </w:p>
    <w:p>
      <w:pPr>
        <w:pStyle w:val="BodyText"/>
      </w:pPr>
    </w:p>
    <w:p>
      <w:pPr>
        <w:pStyle w:val="BodyText"/>
      </w:pPr>
    </w:p>
    <w:p>
      <w:pPr>
        <w:pStyle w:val="BodyText"/>
        <w:spacing w:before="13"/>
      </w:pPr>
    </w:p>
    <w:p>
      <w:pPr>
        <w:pStyle w:val="BodyText"/>
        <w:ind w:left="430" w:right="5"/>
        <w:jc w:val="center"/>
      </w:pPr>
      <w:r>
        <w:rPr>
          <w:spacing w:val="-5"/>
        </w:rPr>
        <w:t>71</w:t>
      </w:r>
    </w:p>
    <w:p>
      <w:pPr>
        <w:pStyle w:val="BodyText"/>
        <w:spacing w:after="0"/>
        <w:jc w:val="center"/>
        <w:sectPr>
          <w:type w:val="continuous"/>
          <w:pgSz w:w="11910" w:h="16840"/>
          <w:pgMar w:top="1920" w:bottom="280" w:left="1700" w:right="1559"/>
        </w:sectPr>
      </w:pPr>
    </w:p>
    <w:p>
      <w:pPr>
        <w:pStyle w:val="BodyText"/>
        <w:spacing w:before="76"/>
        <w:ind w:right="139"/>
        <w:jc w:val="right"/>
      </w:pPr>
      <w:r>
        <w:rPr>
          <w:spacing w:val="-5"/>
        </w:rPr>
        <w:t>72</w:t>
      </w:r>
    </w:p>
    <w:p>
      <w:pPr>
        <w:pStyle w:val="BodyText"/>
      </w:pPr>
    </w:p>
    <w:p>
      <w:pPr>
        <w:pStyle w:val="BodyText"/>
        <w:spacing w:before="185"/>
      </w:pPr>
    </w:p>
    <w:p>
      <w:pPr>
        <w:spacing w:before="1"/>
        <w:ind w:left="566" w:right="0" w:firstLine="0"/>
        <w:jc w:val="both"/>
        <w:rPr>
          <w:b/>
          <w:sz w:val="24"/>
        </w:rPr>
      </w:pPr>
      <w:r>
        <w:rPr>
          <w:b/>
          <w:sz w:val="24"/>
        </w:rPr>
        <w:t>5.2</w:t>
      </w:r>
      <w:r>
        <w:rPr>
          <w:b/>
          <w:spacing w:val="4"/>
          <w:sz w:val="24"/>
        </w:rPr>
        <w:t> </w:t>
      </w:r>
      <w:r>
        <w:rPr>
          <w:b/>
          <w:spacing w:val="-2"/>
          <w:sz w:val="24"/>
        </w:rPr>
        <w:t>Saran</w:t>
      </w:r>
    </w:p>
    <w:p>
      <w:pPr>
        <w:pStyle w:val="BodyText"/>
        <w:spacing w:line="480" w:lineRule="auto" w:before="271"/>
        <w:ind w:left="566" w:right="146" w:firstLine="720"/>
        <w:jc w:val="both"/>
      </w:pPr>
      <w:r>
        <w:rPr/>
        <w:drawing>
          <wp:anchor distT="0" distB="0" distL="0" distR="0" allowOverlap="1" layoutInCell="1" locked="0" behindDoc="1" simplePos="0" relativeHeight="487558656">
            <wp:simplePos x="0" y="0"/>
            <wp:positionH relativeFrom="page">
              <wp:posOffset>1456944</wp:posOffset>
            </wp:positionH>
            <wp:positionV relativeFrom="paragraph">
              <wp:posOffset>1425507</wp:posOffset>
            </wp:positionV>
            <wp:extent cx="4667249" cy="45910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4667249" cy="4591049"/>
                    </a:xfrm>
                    <a:prstGeom prst="rect">
                      <a:avLst/>
                    </a:prstGeom>
                  </pic:spPr>
                </pic:pic>
              </a:graphicData>
            </a:graphic>
          </wp:anchor>
        </w:drawing>
      </w:r>
      <w:r>
        <w:rPr/>
        <w:t>Penelitian ini masih memiliki keterbatasan, sehingga diperlukan pengembangan lebih lanjut untuk penyempurnaan hasil dan perluasan ilmu pengetahuan</w:t>
      </w:r>
      <w:r>
        <w:rPr>
          <w:spacing w:val="-1"/>
        </w:rPr>
        <w:t> </w:t>
      </w:r>
      <w:r>
        <w:rPr/>
        <w:t>di</w:t>
      </w:r>
      <w:r>
        <w:rPr>
          <w:spacing w:val="-4"/>
        </w:rPr>
        <w:t> </w:t>
      </w:r>
      <w:r>
        <w:rPr/>
        <w:t>bidang ini. 0leh</w:t>
      </w:r>
      <w:r>
        <w:rPr>
          <w:spacing w:val="-1"/>
        </w:rPr>
        <w:t> </w:t>
      </w:r>
      <w:r>
        <w:rPr/>
        <w:t>karena itu, penulis menyampaikan</w:t>
      </w:r>
      <w:r>
        <w:rPr>
          <w:spacing w:val="-1"/>
        </w:rPr>
        <w:t> </w:t>
      </w:r>
      <w:r>
        <w:rPr/>
        <w:t>beberapa saran bagi peneliti selanjutnya:</w:t>
      </w:r>
    </w:p>
    <w:p>
      <w:pPr>
        <w:pStyle w:val="ListParagraph"/>
        <w:numPr>
          <w:ilvl w:val="0"/>
          <w:numId w:val="2"/>
        </w:numPr>
        <w:tabs>
          <w:tab w:pos="1287" w:val="left" w:leader="none"/>
        </w:tabs>
        <w:spacing w:line="480" w:lineRule="auto" w:before="0" w:after="0"/>
        <w:ind w:left="1287" w:right="147" w:hanging="361"/>
        <w:jc w:val="both"/>
        <w:rPr>
          <w:sz w:val="24"/>
        </w:rPr>
      </w:pPr>
      <w:r>
        <w:rPr>
          <w:sz w:val="24"/>
        </w:rPr>
        <w:t>Penelitian ini menggunakan jumlah sampel yang terbatas, yaitu hanya 45 responden dari tiga perguruan tinggi di Sumatera Utara. Untuk penelitian selanjutnya,</w:t>
      </w:r>
      <w:r>
        <w:rPr>
          <w:spacing w:val="-5"/>
          <w:sz w:val="24"/>
        </w:rPr>
        <w:t> </w:t>
      </w:r>
      <w:r>
        <w:rPr>
          <w:sz w:val="24"/>
        </w:rPr>
        <w:t>disarankan</w:t>
      </w:r>
      <w:r>
        <w:rPr>
          <w:spacing w:val="-11"/>
          <w:sz w:val="24"/>
        </w:rPr>
        <w:t> </w:t>
      </w:r>
      <w:r>
        <w:rPr>
          <w:sz w:val="24"/>
        </w:rPr>
        <w:t>agar</w:t>
      </w:r>
      <w:r>
        <w:rPr>
          <w:spacing w:val="-6"/>
          <w:sz w:val="24"/>
        </w:rPr>
        <w:t> </w:t>
      </w:r>
      <w:r>
        <w:rPr>
          <w:sz w:val="24"/>
        </w:rPr>
        <w:t>menggunakan</w:t>
      </w:r>
      <w:r>
        <w:rPr>
          <w:spacing w:val="-7"/>
          <w:sz w:val="24"/>
        </w:rPr>
        <w:t> </w:t>
      </w:r>
      <w:r>
        <w:rPr>
          <w:sz w:val="24"/>
        </w:rPr>
        <w:t>jumlah</w:t>
      </w:r>
      <w:r>
        <w:rPr>
          <w:spacing w:val="-7"/>
          <w:sz w:val="24"/>
        </w:rPr>
        <w:t> </w:t>
      </w:r>
      <w:r>
        <w:rPr>
          <w:sz w:val="24"/>
        </w:rPr>
        <w:t>sampel</w:t>
      </w:r>
      <w:r>
        <w:rPr>
          <w:spacing w:val="-11"/>
          <w:sz w:val="24"/>
        </w:rPr>
        <w:t> </w:t>
      </w:r>
      <w:r>
        <w:rPr>
          <w:sz w:val="24"/>
        </w:rPr>
        <w:t>yang</w:t>
      </w:r>
      <w:r>
        <w:rPr>
          <w:spacing w:val="-3"/>
          <w:sz w:val="24"/>
        </w:rPr>
        <w:t> </w:t>
      </w:r>
      <w:r>
        <w:rPr>
          <w:sz w:val="24"/>
        </w:rPr>
        <w:t>lebih</w:t>
      </w:r>
      <w:r>
        <w:rPr>
          <w:spacing w:val="-7"/>
          <w:sz w:val="24"/>
        </w:rPr>
        <w:t> </w:t>
      </w:r>
      <w:r>
        <w:rPr>
          <w:sz w:val="24"/>
        </w:rPr>
        <w:t>besar dan melibatkan perguruan tinggi, baik negeri maupun swasta, agar hasil penelitian dapat lebih mewakili populasi mahasiswa akuntansi secara </w:t>
      </w:r>
      <w:r>
        <w:rPr>
          <w:spacing w:val="-2"/>
          <w:sz w:val="24"/>
        </w:rPr>
        <w:t>umum.</w:t>
      </w:r>
    </w:p>
    <w:p>
      <w:pPr>
        <w:pStyle w:val="ListParagraph"/>
        <w:numPr>
          <w:ilvl w:val="0"/>
          <w:numId w:val="2"/>
        </w:numPr>
        <w:tabs>
          <w:tab w:pos="1287" w:val="left" w:leader="none"/>
        </w:tabs>
        <w:spacing w:line="480" w:lineRule="auto" w:before="2" w:after="0"/>
        <w:ind w:left="1287" w:right="148" w:hanging="361"/>
        <w:jc w:val="both"/>
        <w:rPr>
          <w:sz w:val="24"/>
        </w:rPr>
      </w:pPr>
      <w:r>
        <w:rPr>
          <w:sz w:val="24"/>
        </w:rPr>
        <w:t>Disarankan untuk menambahkan variabel independen lain yang relevan, </w:t>
      </w:r>
      <w:r>
        <w:rPr>
          <w:spacing w:val="-2"/>
          <w:sz w:val="24"/>
        </w:rPr>
        <w:t>seperti</w:t>
      </w:r>
      <w:r>
        <w:rPr>
          <w:spacing w:val="-12"/>
          <w:sz w:val="24"/>
        </w:rPr>
        <w:t> </w:t>
      </w:r>
      <w:r>
        <w:rPr>
          <w:spacing w:val="-2"/>
          <w:sz w:val="24"/>
        </w:rPr>
        <w:t>persepsi</w:t>
      </w:r>
      <w:r>
        <w:rPr>
          <w:spacing w:val="-12"/>
          <w:sz w:val="24"/>
        </w:rPr>
        <w:t> </w:t>
      </w:r>
      <w:r>
        <w:rPr>
          <w:spacing w:val="-2"/>
          <w:sz w:val="24"/>
        </w:rPr>
        <w:t>terhadap profesi</w:t>
      </w:r>
      <w:r>
        <w:rPr>
          <w:spacing w:val="-6"/>
          <w:sz w:val="24"/>
        </w:rPr>
        <w:t> </w:t>
      </w:r>
      <w:r>
        <w:rPr>
          <w:spacing w:val="-2"/>
          <w:sz w:val="24"/>
        </w:rPr>
        <w:t>pajak, lingkungan</w:t>
      </w:r>
      <w:r>
        <w:rPr>
          <w:spacing w:val="-6"/>
          <w:sz w:val="24"/>
        </w:rPr>
        <w:t> </w:t>
      </w:r>
      <w:r>
        <w:rPr>
          <w:spacing w:val="-2"/>
          <w:sz w:val="24"/>
        </w:rPr>
        <w:t>belajar, dukungan</w:t>
      </w:r>
      <w:r>
        <w:rPr>
          <w:spacing w:val="-6"/>
          <w:sz w:val="24"/>
        </w:rPr>
        <w:t> </w:t>
      </w:r>
      <w:r>
        <w:rPr>
          <w:spacing w:val="-2"/>
          <w:sz w:val="24"/>
        </w:rPr>
        <w:t>dosen, </w:t>
      </w:r>
      <w:r>
        <w:rPr>
          <w:sz w:val="24"/>
        </w:rPr>
        <w:t>atau faktor ekonomi guna melihat faktor-faktor lain yang mungkin turut memengaruhi minat mahasiswa dalam mengikuti sertifikasi brevet pajak </w:t>
      </w:r>
      <w:r>
        <w:rPr>
          <w:spacing w:val="-4"/>
          <w:sz w:val="24"/>
        </w:rPr>
        <w:t>AB.</w:t>
      </w:r>
    </w:p>
    <w:p>
      <w:pPr>
        <w:pStyle w:val="ListParagraph"/>
        <w:numPr>
          <w:ilvl w:val="0"/>
          <w:numId w:val="2"/>
        </w:numPr>
        <w:tabs>
          <w:tab w:pos="1287" w:val="left" w:leader="none"/>
        </w:tabs>
        <w:spacing w:line="480" w:lineRule="auto" w:before="1" w:after="0"/>
        <w:ind w:left="1287" w:right="142" w:hanging="361"/>
        <w:jc w:val="both"/>
        <w:rPr>
          <w:sz w:val="24"/>
        </w:rPr>
      </w:pPr>
      <w:r>
        <w:rPr>
          <w:sz w:val="24"/>
        </w:rPr>
        <w:t>Pada Penelitian ini, variabel motivasi dan pengetahuan perpajakan untuk mengukur minat mahasiswa dalam mengikuti sertifikasi brevet pajak AB. Seperti</w:t>
      </w:r>
      <w:r>
        <w:rPr>
          <w:spacing w:val="-9"/>
          <w:sz w:val="24"/>
        </w:rPr>
        <w:t> </w:t>
      </w:r>
      <w:r>
        <w:rPr>
          <w:sz w:val="24"/>
        </w:rPr>
        <w:t>pada</w:t>
      </w:r>
      <w:r>
        <w:rPr>
          <w:spacing w:val="-2"/>
          <w:sz w:val="24"/>
        </w:rPr>
        <w:t> </w:t>
      </w:r>
      <w:r>
        <w:rPr>
          <w:sz w:val="24"/>
        </w:rPr>
        <w:t>penelitian</w:t>
      </w:r>
      <w:r>
        <w:rPr>
          <w:spacing w:val="-1"/>
          <w:sz w:val="24"/>
        </w:rPr>
        <w:t> </w:t>
      </w:r>
      <w:r>
        <w:rPr>
          <w:sz w:val="24"/>
        </w:rPr>
        <w:t>ini, variabel</w:t>
      </w:r>
      <w:r>
        <w:rPr>
          <w:spacing w:val="-6"/>
          <w:sz w:val="24"/>
        </w:rPr>
        <w:t> </w:t>
      </w:r>
      <w:r>
        <w:rPr>
          <w:sz w:val="24"/>
        </w:rPr>
        <w:t>diukur berdasarkan</w:t>
      </w:r>
      <w:r>
        <w:rPr>
          <w:spacing w:val="-6"/>
          <w:sz w:val="24"/>
        </w:rPr>
        <w:t> </w:t>
      </w:r>
      <w:r>
        <w:rPr>
          <w:sz w:val="24"/>
        </w:rPr>
        <w:t>persepsi</w:t>
      </w:r>
      <w:r>
        <w:rPr>
          <w:spacing w:val="-9"/>
          <w:sz w:val="24"/>
        </w:rPr>
        <w:t> </w:t>
      </w:r>
      <w:r>
        <w:rPr>
          <w:sz w:val="24"/>
        </w:rPr>
        <w:t>responden melalui kuesioner. Oleh karena itu, disarankan bagi penelitian selanjutnya untuk menambahkan variabel lain seperti persepsi terhadap profesi pajak, lingkungan belajar, maupun faktor ekonomi agar hasil penelitian menjadi lebih komprehensif.</w:t>
      </w:r>
    </w:p>
    <w:sectPr>
      <w:pgSz w:w="11910" w:h="16840"/>
      <w:pgMar w:top="116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287"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6" w:hanging="361"/>
      </w:pPr>
      <w:rPr>
        <w:rFonts w:hint="default"/>
        <w:lang w:val="id" w:eastAsia="en-US" w:bidi="ar-SA"/>
      </w:rPr>
    </w:lvl>
    <w:lvl w:ilvl="2">
      <w:start w:val="0"/>
      <w:numFmt w:val="bullet"/>
      <w:lvlText w:val="•"/>
      <w:lvlJc w:val="left"/>
      <w:pPr>
        <w:ind w:left="2753" w:hanging="361"/>
      </w:pPr>
      <w:rPr>
        <w:rFonts w:hint="default"/>
        <w:lang w:val="id" w:eastAsia="en-US" w:bidi="ar-SA"/>
      </w:rPr>
    </w:lvl>
    <w:lvl w:ilvl="3">
      <w:start w:val="0"/>
      <w:numFmt w:val="bullet"/>
      <w:lvlText w:val="•"/>
      <w:lvlJc w:val="left"/>
      <w:pPr>
        <w:ind w:left="3490" w:hanging="361"/>
      </w:pPr>
      <w:rPr>
        <w:rFonts w:hint="default"/>
        <w:lang w:val="id" w:eastAsia="en-US" w:bidi="ar-SA"/>
      </w:rPr>
    </w:lvl>
    <w:lvl w:ilvl="4">
      <w:start w:val="0"/>
      <w:numFmt w:val="bullet"/>
      <w:lvlText w:val="•"/>
      <w:lvlJc w:val="left"/>
      <w:pPr>
        <w:ind w:left="4227" w:hanging="361"/>
      </w:pPr>
      <w:rPr>
        <w:rFonts w:hint="default"/>
        <w:lang w:val="id" w:eastAsia="en-US" w:bidi="ar-SA"/>
      </w:rPr>
    </w:lvl>
    <w:lvl w:ilvl="5">
      <w:start w:val="0"/>
      <w:numFmt w:val="bullet"/>
      <w:lvlText w:val="•"/>
      <w:lvlJc w:val="left"/>
      <w:pPr>
        <w:ind w:left="4964" w:hanging="361"/>
      </w:pPr>
      <w:rPr>
        <w:rFonts w:hint="default"/>
        <w:lang w:val="id" w:eastAsia="en-US" w:bidi="ar-SA"/>
      </w:rPr>
    </w:lvl>
    <w:lvl w:ilvl="6">
      <w:start w:val="0"/>
      <w:numFmt w:val="bullet"/>
      <w:lvlText w:val="•"/>
      <w:lvlJc w:val="left"/>
      <w:pPr>
        <w:ind w:left="5701" w:hanging="361"/>
      </w:pPr>
      <w:rPr>
        <w:rFonts w:hint="default"/>
        <w:lang w:val="id" w:eastAsia="en-US" w:bidi="ar-SA"/>
      </w:rPr>
    </w:lvl>
    <w:lvl w:ilvl="7">
      <w:start w:val="0"/>
      <w:numFmt w:val="bullet"/>
      <w:lvlText w:val="•"/>
      <w:lvlJc w:val="left"/>
      <w:pPr>
        <w:ind w:left="6438" w:hanging="361"/>
      </w:pPr>
      <w:rPr>
        <w:rFonts w:hint="default"/>
        <w:lang w:val="id" w:eastAsia="en-US" w:bidi="ar-SA"/>
      </w:rPr>
    </w:lvl>
    <w:lvl w:ilvl="8">
      <w:start w:val="0"/>
      <w:numFmt w:val="bullet"/>
      <w:lvlText w:val="•"/>
      <w:lvlJc w:val="left"/>
      <w:pPr>
        <w:ind w:left="7175" w:hanging="361"/>
      </w:pPr>
      <w:rPr>
        <w:rFonts w:hint="default"/>
        <w:lang w:val="id" w:eastAsia="en-US" w:bidi="ar-SA"/>
      </w:rPr>
    </w:lvl>
  </w:abstractNum>
  <w:abstractNum w:abstractNumId="0">
    <w:multiLevelType w:val="hybridMultilevel"/>
    <w:lvl w:ilvl="0">
      <w:start w:val="1"/>
      <w:numFmt w:val="decimal"/>
      <w:lvlText w:val="%1."/>
      <w:lvlJc w:val="left"/>
      <w:pPr>
        <w:ind w:left="1287" w:hanging="361"/>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decimal"/>
      <w:lvlText w:val="%2."/>
      <w:lvlJc w:val="left"/>
      <w:pPr>
        <w:ind w:left="1647" w:hanging="42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418" w:hanging="423"/>
      </w:pPr>
      <w:rPr>
        <w:rFonts w:hint="default"/>
        <w:lang w:val="id" w:eastAsia="en-US" w:bidi="ar-SA"/>
      </w:rPr>
    </w:lvl>
    <w:lvl w:ilvl="3">
      <w:start w:val="0"/>
      <w:numFmt w:val="bullet"/>
      <w:lvlText w:val="•"/>
      <w:lvlJc w:val="left"/>
      <w:pPr>
        <w:ind w:left="3197" w:hanging="423"/>
      </w:pPr>
      <w:rPr>
        <w:rFonts w:hint="default"/>
        <w:lang w:val="id" w:eastAsia="en-US" w:bidi="ar-SA"/>
      </w:rPr>
    </w:lvl>
    <w:lvl w:ilvl="4">
      <w:start w:val="0"/>
      <w:numFmt w:val="bullet"/>
      <w:lvlText w:val="•"/>
      <w:lvlJc w:val="left"/>
      <w:pPr>
        <w:ind w:left="3976" w:hanging="423"/>
      </w:pPr>
      <w:rPr>
        <w:rFonts w:hint="default"/>
        <w:lang w:val="id" w:eastAsia="en-US" w:bidi="ar-SA"/>
      </w:rPr>
    </w:lvl>
    <w:lvl w:ilvl="5">
      <w:start w:val="0"/>
      <w:numFmt w:val="bullet"/>
      <w:lvlText w:val="•"/>
      <w:lvlJc w:val="left"/>
      <w:pPr>
        <w:ind w:left="4755" w:hanging="423"/>
      </w:pPr>
      <w:rPr>
        <w:rFonts w:hint="default"/>
        <w:lang w:val="id" w:eastAsia="en-US" w:bidi="ar-SA"/>
      </w:rPr>
    </w:lvl>
    <w:lvl w:ilvl="6">
      <w:start w:val="0"/>
      <w:numFmt w:val="bullet"/>
      <w:lvlText w:val="•"/>
      <w:lvlJc w:val="left"/>
      <w:pPr>
        <w:ind w:left="5534" w:hanging="423"/>
      </w:pPr>
      <w:rPr>
        <w:rFonts w:hint="default"/>
        <w:lang w:val="id" w:eastAsia="en-US" w:bidi="ar-SA"/>
      </w:rPr>
    </w:lvl>
    <w:lvl w:ilvl="7">
      <w:start w:val="0"/>
      <w:numFmt w:val="bullet"/>
      <w:lvlText w:val="•"/>
      <w:lvlJc w:val="left"/>
      <w:pPr>
        <w:ind w:left="6313" w:hanging="423"/>
      </w:pPr>
      <w:rPr>
        <w:rFonts w:hint="default"/>
        <w:lang w:val="id" w:eastAsia="en-US" w:bidi="ar-SA"/>
      </w:rPr>
    </w:lvl>
    <w:lvl w:ilvl="8">
      <w:start w:val="0"/>
      <w:numFmt w:val="bullet"/>
      <w:lvlText w:val="•"/>
      <w:lvlJc w:val="left"/>
      <w:pPr>
        <w:ind w:left="7092" w:hanging="423"/>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ind w:left="1287" w:right="142"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2026-09-22T11:51:24Z</dcterms:created>
  <dcterms:modified xsi:type="dcterms:W3CDTF">2026-09-22T11:51:24Z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