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ind w:left="0"/>
        <w:jc w:val="left"/>
      </w:pPr>
    </w:p>
    <w:p>
      <w:pPr>
        <w:spacing w:line="480" w:lineRule="auto" w:before="0"/>
        <w:ind w:left="3313" w:right="2523" w:firstLine="854"/>
        <w:jc w:val="left"/>
        <w:rPr>
          <w:b/>
          <w:sz w:val="24"/>
        </w:rPr>
      </w:pPr>
      <w:bookmarkStart w:name="BAB II" w:id="1"/>
      <w:bookmarkEnd w:id="1"/>
      <w:r>
        <w:rPr/>
      </w:r>
      <w:r>
        <w:rPr>
          <w:b/>
          <w:sz w:val="24"/>
        </w:rPr>
        <w:t>BAB II </w:t>
      </w:r>
      <w:bookmarkStart w:name="TINJAUAN PUSTAKA" w:id="2"/>
      <w:bookmarkEnd w:id="2"/>
      <w:r>
        <w:rPr>
          <w:b/>
          <w:sz w:val="24"/>
        </w:rPr>
        <w:t>T</w:t>
      </w:r>
      <w:r>
        <w:rPr>
          <w:b/>
          <w:sz w:val="24"/>
        </w:rPr>
        <w:t>INJAUAN</w:t>
      </w:r>
      <w:r>
        <w:rPr>
          <w:b/>
          <w:spacing w:val="-15"/>
          <w:sz w:val="24"/>
        </w:rPr>
        <w:t> </w:t>
      </w:r>
      <w:r>
        <w:rPr>
          <w:b/>
          <w:sz w:val="24"/>
        </w:rPr>
        <w:t>PUSTAKA</w:t>
      </w:r>
    </w:p>
    <w:p>
      <w:pPr>
        <w:pStyle w:val="ListParagraph"/>
        <w:numPr>
          <w:ilvl w:val="1"/>
          <w:numId w:val="1"/>
        </w:numPr>
        <w:tabs>
          <w:tab w:pos="930" w:val="left" w:leader="none"/>
        </w:tabs>
        <w:spacing w:line="271" w:lineRule="exact" w:before="0" w:after="0"/>
        <w:ind w:left="930" w:right="0" w:hanging="364"/>
        <w:jc w:val="both"/>
        <w:rPr>
          <w:b/>
          <w:sz w:val="24"/>
        </w:rPr>
      </w:pPr>
      <w:bookmarkStart w:name="2.1 Landasan Teori" w:id="3"/>
      <w:bookmarkEnd w:id="3"/>
      <w:r>
        <w:rPr/>
      </w:r>
      <w:r>
        <w:rPr>
          <w:b/>
          <w:sz w:val="24"/>
        </w:rPr>
        <w:t>Landasan</w:t>
      </w:r>
      <w:r>
        <w:rPr>
          <w:b/>
          <w:spacing w:val="-10"/>
          <w:sz w:val="24"/>
        </w:rPr>
        <w:t> </w:t>
      </w:r>
      <w:r>
        <w:rPr>
          <w:b/>
          <w:spacing w:val="-4"/>
          <w:sz w:val="24"/>
        </w:rPr>
        <w:t>Teori</w:t>
      </w:r>
    </w:p>
    <w:p>
      <w:pPr>
        <w:pStyle w:val="ListParagraph"/>
        <w:numPr>
          <w:ilvl w:val="2"/>
          <w:numId w:val="1"/>
        </w:numPr>
        <w:tabs>
          <w:tab w:pos="1107" w:val="left" w:leader="none"/>
        </w:tabs>
        <w:spacing w:line="240" w:lineRule="auto" w:before="243" w:after="0"/>
        <w:ind w:left="1107" w:right="0" w:hanging="541"/>
        <w:jc w:val="both"/>
        <w:rPr>
          <w:b/>
          <w:sz w:val="24"/>
        </w:rPr>
      </w:pPr>
      <w:r>
        <w:rPr>
          <w:b/>
          <w:sz w:val="24"/>
        </w:rPr>
        <w:t>Pengetahuan</w:t>
      </w:r>
      <w:r>
        <w:rPr>
          <w:b/>
          <w:spacing w:val="-4"/>
          <w:sz w:val="24"/>
        </w:rPr>
        <w:t> </w:t>
      </w:r>
      <w:r>
        <w:rPr>
          <w:b/>
          <w:spacing w:val="-2"/>
          <w:sz w:val="24"/>
        </w:rPr>
        <w:t>Investasi</w:t>
      </w:r>
    </w:p>
    <w:p>
      <w:pPr>
        <w:pStyle w:val="BodyText"/>
        <w:spacing w:line="480" w:lineRule="auto" w:before="22"/>
        <w:ind w:right="145" w:firstLine="682"/>
      </w:pPr>
      <w:r>
        <w:rPr/>
        <w:drawing>
          <wp:anchor distT="0" distB="0" distL="0" distR="0" allowOverlap="1" layoutInCell="1" locked="0" behindDoc="1" simplePos="0" relativeHeight="487397888">
            <wp:simplePos x="0" y="0"/>
            <wp:positionH relativeFrom="page">
              <wp:posOffset>1456944</wp:posOffset>
            </wp:positionH>
            <wp:positionV relativeFrom="paragraph">
              <wp:posOffset>398570</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t>Pengetahuan mengenai investasi menjadi salah satu aspek penting yang dapat membentuk minat serta keputusan seseorang dalam melakukan kegiatan investasi, terutama bagi mahasiswa yang masih berada pada tahap awal sebagai calon investor. Pemahaman tersebut meliputi wawasan mengenai jenis instrumen investasi, cara kerja pasar modal, tingkat risiko yang mungkin dihadapi, hingga peluang imbal hasil (return) yang dapat diperoleh dari aktivitas investasi (Hasanudin</w:t>
      </w:r>
      <w:r>
        <w:rPr>
          <w:spacing w:val="-15"/>
        </w:rPr>
        <w:t> </w:t>
      </w:r>
      <w:r>
        <w:rPr/>
        <w:t>et</w:t>
      </w:r>
      <w:r>
        <w:rPr>
          <w:spacing w:val="-8"/>
        </w:rPr>
        <w:t> </w:t>
      </w:r>
      <w:r>
        <w:rPr/>
        <w:t>al.,</w:t>
      </w:r>
      <w:r>
        <w:rPr>
          <w:spacing w:val="-10"/>
        </w:rPr>
        <w:t> </w:t>
      </w:r>
      <w:r>
        <w:rPr/>
        <w:t>2021;</w:t>
      </w:r>
      <w:r>
        <w:rPr>
          <w:spacing w:val="-15"/>
        </w:rPr>
        <w:t> </w:t>
      </w:r>
      <w:r>
        <w:rPr/>
        <w:t>Dewi</w:t>
      </w:r>
      <w:r>
        <w:rPr>
          <w:spacing w:val="-15"/>
        </w:rPr>
        <w:t> </w:t>
      </w:r>
      <w:r>
        <w:rPr/>
        <w:t>et</w:t>
      </w:r>
      <w:r>
        <w:rPr>
          <w:spacing w:val="-7"/>
        </w:rPr>
        <w:t> </w:t>
      </w:r>
      <w:r>
        <w:rPr/>
        <w:t>al.,</w:t>
      </w:r>
      <w:r>
        <w:rPr>
          <w:spacing w:val="-10"/>
        </w:rPr>
        <w:t> </w:t>
      </w:r>
      <w:r>
        <w:rPr/>
        <w:t>2019).</w:t>
      </w:r>
      <w:r>
        <w:rPr>
          <w:spacing w:val="-10"/>
        </w:rPr>
        <w:t> </w:t>
      </w:r>
      <w:r>
        <w:rPr/>
        <w:t>Dengan</w:t>
      </w:r>
      <w:r>
        <w:rPr>
          <w:spacing w:val="-12"/>
        </w:rPr>
        <w:t> </w:t>
      </w:r>
      <w:r>
        <w:rPr/>
        <w:t>bekal</w:t>
      </w:r>
      <w:r>
        <w:rPr>
          <w:spacing w:val="-15"/>
        </w:rPr>
        <w:t> </w:t>
      </w:r>
      <w:r>
        <w:rPr/>
        <w:t>pengetahuan</w:t>
      </w:r>
      <w:r>
        <w:rPr>
          <w:spacing w:val="-12"/>
        </w:rPr>
        <w:t> </w:t>
      </w:r>
      <w:r>
        <w:rPr/>
        <w:t>yang</w:t>
      </w:r>
      <w:r>
        <w:rPr>
          <w:spacing w:val="-12"/>
        </w:rPr>
        <w:t> </w:t>
      </w:r>
      <w:r>
        <w:rPr/>
        <w:t>cukup, mahasiswa diharapkan mampu mengambil keputusan investasi secara lebih bijak serta mengelola risiko yang muncul dengan lebih optimal.</w:t>
      </w:r>
    </w:p>
    <w:p>
      <w:pPr>
        <w:pStyle w:val="BodyText"/>
        <w:spacing w:line="480" w:lineRule="auto" w:before="2"/>
        <w:ind w:right="140" w:firstLine="682"/>
      </w:pPr>
      <w:r>
        <w:rPr/>
        <w:t>Penelitian yang dilakukan oleh Fakultas Ekonomi Universitas Bangka Belitung (FE UBB) pada tahun 2023 menunjukkan bahwa pengetahuan investasi memiliki pengaruh yang signifikan terhadap minat mahasiswa dalam berinvestasi di pasar modal. Studi tersebut menggunakan pendekatan kuantitatif dengan melibatkan 93 responden mahasiswa sebagai sampel penelitian. Hasilnya menunjukkan bahwa secara simultan, variabel</w:t>
      </w:r>
      <w:r>
        <w:rPr>
          <w:spacing w:val="-7"/>
        </w:rPr>
        <w:t> </w:t>
      </w:r>
      <w:r>
        <w:rPr/>
        <w:t>pengetahuan investasi, modal</w:t>
      </w:r>
      <w:r>
        <w:rPr>
          <w:spacing w:val="-7"/>
        </w:rPr>
        <w:t> </w:t>
      </w:r>
      <w:r>
        <w:rPr/>
        <w:t>awal, dan return investasi sama-sama memberikan pengaruh positif dan signifikan terhadap minat mahasiswa untuk berinvestasi</w:t>
      </w:r>
      <w:r>
        <w:rPr>
          <w:spacing w:val="-3"/>
        </w:rPr>
        <w:t> </w:t>
      </w:r>
      <w:r>
        <w:rPr/>
        <w:t>(Ijab UBB, 2023). Selain itu, ketika diuji secara parsial, ketiga variabel tersebut juga terbukti berpengaruh signifikan, sehingga memperkuat bahwa pengetahuan investasi merupakan faktor penting dalam meningkatkan minat mahasiswa untuk berinvestasi.</w:t>
      </w:r>
    </w:p>
    <w:p>
      <w:pPr>
        <w:pStyle w:val="BodyText"/>
        <w:spacing w:before="248"/>
        <w:ind w:left="0"/>
        <w:jc w:val="left"/>
        <w:rPr>
          <w:sz w:val="22"/>
        </w:rPr>
      </w:pPr>
    </w:p>
    <w:p>
      <w:pPr>
        <w:spacing w:before="0"/>
        <w:ind w:left="425" w:right="0" w:firstLine="0"/>
        <w:jc w:val="center"/>
        <w:rPr>
          <w:rFonts w:ascii="Calibri"/>
          <w:sz w:val="22"/>
        </w:rPr>
      </w:pPr>
      <w:r>
        <w:rPr>
          <w:rFonts w:ascii="Calibri"/>
          <w:spacing w:val="-5"/>
          <w:sz w:val="22"/>
        </w:rPr>
        <w:t>14</w:t>
      </w:r>
    </w:p>
    <w:p>
      <w:pPr>
        <w:spacing w:after="0"/>
        <w:jc w:val="center"/>
        <w:rPr>
          <w:rFonts w:ascii="Calibri"/>
          <w:sz w:val="22"/>
        </w:rPr>
        <w:sectPr>
          <w:type w:val="continuous"/>
          <w:pgSz w:w="11910" w:h="16840"/>
          <w:pgMar w:top="1920" w:bottom="280" w:left="1700" w:right="1559"/>
        </w:sectPr>
      </w:pPr>
    </w:p>
    <w:p>
      <w:pPr>
        <w:pStyle w:val="BodyText"/>
        <w:spacing w:before="31"/>
        <w:ind w:left="0"/>
        <w:jc w:val="left"/>
        <w:rPr>
          <w:rFonts w:ascii="Calibri"/>
        </w:rPr>
      </w:pPr>
    </w:p>
    <w:p>
      <w:pPr>
        <w:pStyle w:val="BodyText"/>
        <w:spacing w:line="480" w:lineRule="auto"/>
        <w:ind w:right="138" w:firstLine="682"/>
      </w:pPr>
      <w:r>
        <w:rPr/>
        <w:drawing>
          <wp:anchor distT="0" distB="0" distL="0" distR="0" allowOverlap="1" layoutInCell="1" locked="0" behindDoc="1" simplePos="0" relativeHeight="487398400">
            <wp:simplePos x="0" y="0"/>
            <wp:positionH relativeFrom="page">
              <wp:posOffset>1456944</wp:posOffset>
            </wp:positionH>
            <wp:positionV relativeFrom="paragraph">
              <wp:posOffset>1604537</wp:posOffset>
            </wp:positionV>
            <wp:extent cx="4667249" cy="4591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4667249" cy="4591049"/>
                    </a:xfrm>
                    <a:prstGeom prst="rect">
                      <a:avLst/>
                    </a:prstGeom>
                  </pic:spPr>
                </pic:pic>
              </a:graphicData>
            </a:graphic>
          </wp:anchor>
        </w:drawing>
      </w:r>
      <w:r>
        <w:rPr/>
        <w:t>Selain itu, hasil penelitian di Fakultas Ekonomi dan Bisnis Universitas Bandar Lampung (FEB UBL) pada tahun 2022 juga memperkuat temuan sebelumnya. Studi tersebut menunjukkan bahwa tingkat pengetahuan investasi mahasiswa memiliki hubungan positif</w:t>
      </w:r>
      <w:r>
        <w:rPr>
          <w:spacing w:val="-2"/>
        </w:rPr>
        <w:t> </w:t>
      </w:r>
      <w:r>
        <w:rPr/>
        <w:t>dan signifikan dengan minat mereka dalam berinvestasi. Mahasiswa</w:t>
      </w:r>
      <w:r>
        <w:rPr>
          <w:spacing w:val="-1"/>
        </w:rPr>
        <w:t> </w:t>
      </w:r>
      <w:r>
        <w:rPr/>
        <w:t>yang memahami</w:t>
      </w:r>
      <w:r>
        <w:rPr>
          <w:spacing w:val="-7"/>
        </w:rPr>
        <w:t> </w:t>
      </w:r>
      <w:r>
        <w:rPr/>
        <w:t>konsep investasi</w:t>
      </w:r>
      <w:r>
        <w:rPr>
          <w:spacing w:val="-12"/>
        </w:rPr>
        <w:t> </w:t>
      </w:r>
      <w:r>
        <w:rPr/>
        <w:t>dengan</w:t>
      </w:r>
      <w:r>
        <w:rPr>
          <w:spacing w:val="-3"/>
        </w:rPr>
        <w:t> </w:t>
      </w:r>
      <w:r>
        <w:rPr/>
        <w:t>baik</w:t>
      </w:r>
      <w:r>
        <w:rPr>
          <w:spacing w:val="-3"/>
        </w:rPr>
        <w:t> </w:t>
      </w:r>
      <w:r>
        <w:rPr/>
        <w:t>cenderung memiliki keyakinan yang lebih tinggi serta termotivasi untuk berpartisipasi dalam pasar modal. Penelitian ini turut menekankan bahwa edukasi</w:t>
      </w:r>
      <w:r>
        <w:rPr>
          <w:spacing w:val="-2"/>
        </w:rPr>
        <w:t> </w:t>
      </w:r>
      <w:r>
        <w:rPr/>
        <w:t>dan pelatihan terkait investasi</w:t>
      </w:r>
      <w:r>
        <w:rPr>
          <w:spacing w:val="-15"/>
        </w:rPr>
        <w:t> </w:t>
      </w:r>
      <w:r>
        <w:rPr/>
        <w:t>berperan</w:t>
      </w:r>
      <w:r>
        <w:rPr>
          <w:spacing w:val="-15"/>
        </w:rPr>
        <w:t> </w:t>
      </w:r>
      <w:r>
        <w:rPr/>
        <w:t>penting</w:t>
      </w:r>
      <w:r>
        <w:rPr>
          <w:spacing w:val="-15"/>
        </w:rPr>
        <w:t> </w:t>
      </w:r>
      <w:r>
        <w:rPr/>
        <w:t>dalam</w:t>
      </w:r>
      <w:r>
        <w:rPr>
          <w:spacing w:val="-15"/>
        </w:rPr>
        <w:t> </w:t>
      </w:r>
      <w:r>
        <w:rPr/>
        <w:t>meningkatkan</w:t>
      </w:r>
      <w:r>
        <w:rPr>
          <w:spacing w:val="-15"/>
        </w:rPr>
        <w:t> </w:t>
      </w:r>
      <w:r>
        <w:rPr/>
        <w:t>pemahaman</w:t>
      </w:r>
      <w:r>
        <w:rPr>
          <w:spacing w:val="-15"/>
        </w:rPr>
        <w:t> </w:t>
      </w:r>
      <w:r>
        <w:rPr/>
        <w:t>serta</w:t>
      </w:r>
      <w:r>
        <w:rPr>
          <w:spacing w:val="-15"/>
        </w:rPr>
        <w:t> </w:t>
      </w:r>
      <w:r>
        <w:rPr/>
        <w:t>minat</w:t>
      </w:r>
      <w:r>
        <w:rPr>
          <w:spacing w:val="-15"/>
        </w:rPr>
        <w:t> </w:t>
      </w:r>
      <w:r>
        <w:rPr/>
        <w:t>mahasiswa untuk terlibat dalam</w:t>
      </w:r>
      <w:r>
        <w:rPr>
          <w:spacing w:val="-2"/>
        </w:rPr>
        <w:t> </w:t>
      </w:r>
      <w:r>
        <w:rPr/>
        <w:t>aktivitas investasi (Jurnal Ilmiah Wahana Pendidikan, 2022).</w:t>
      </w:r>
    </w:p>
    <w:p>
      <w:pPr>
        <w:pStyle w:val="BodyText"/>
        <w:spacing w:line="480" w:lineRule="auto"/>
        <w:ind w:right="139" w:firstLine="682"/>
      </w:pPr>
      <w:r>
        <w:rPr/>
        <w:t>Selanjutnya, penelitian yang dilakukan di Fakultas Ekonomi Universitas Negeri Yogyakarta (UNY) pada tahun 2022 menunjukkan bahwa pengetahuan investasi bersama dengan motivasi investasi memberikan pengaruh positif dan signifikan terhadap minat mahasiswa dalam berinvestasi. Pengetahuan tentang investasi berfungsi sebagai dasar yang dapat memperkuat motivasi mahasiswa untuk berinvestasi, sehingga kedua faktor tersebut saling mendukung dalam membentuk minat investasi mahasiswa (Jurnal Riset Manajemen, 2022).</w:t>
      </w:r>
    </w:p>
    <w:p>
      <w:pPr>
        <w:pStyle w:val="BodyText"/>
        <w:spacing w:line="480" w:lineRule="auto" w:before="2"/>
        <w:ind w:right="140" w:firstLine="682"/>
      </w:pPr>
      <w:r>
        <w:rPr/>
        <w:t>Namun, tidak semua hasil penelitian menunjukkan kesimpulan yang sama. Studi</w:t>
      </w:r>
      <w:r>
        <w:rPr>
          <w:spacing w:val="-15"/>
        </w:rPr>
        <w:t> </w:t>
      </w:r>
      <w:r>
        <w:rPr/>
        <w:t>yang</w:t>
      </w:r>
      <w:r>
        <w:rPr>
          <w:spacing w:val="-15"/>
        </w:rPr>
        <w:t> </w:t>
      </w:r>
      <w:r>
        <w:rPr/>
        <w:t>dilakukan</w:t>
      </w:r>
      <w:r>
        <w:rPr>
          <w:spacing w:val="-15"/>
        </w:rPr>
        <w:t> </w:t>
      </w:r>
      <w:r>
        <w:rPr/>
        <w:t>di</w:t>
      </w:r>
      <w:r>
        <w:rPr>
          <w:spacing w:val="-15"/>
        </w:rPr>
        <w:t> </w:t>
      </w:r>
      <w:r>
        <w:rPr/>
        <w:t>STIE</w:t>
      </w:r>
      <w:r>
        <w:rPr>
          <w:spacing w:val="-15"/>
        </w:rPr>
        <w:t> </w:t>
      </w:r>
      <w:r>
        <w:rPr/>
        <w:t>Pancasetia</w:t>
      </w:r>
      <w:r>
        <w:rPr>
          <w:spacing w:val="-15"/>
        </w:rPr>
        <w:t> </w:t>
      </w:r>
      <w:r>
        <w:rPr/>
        <w:t>Banjarmasin</w:t>
      </w:r>
      <w:r>
        <w:rPr>
          <w:spacing w:val="-15"/>
        </w:rPr>
        <w:t> </w:t>
      </w:r>
      <w:r>
        <w:rPr/>
        <w:t>pada</w:t>
      </w:r>
      <w:r>
        <w:rPr>
          <w:spacing w:val="-15"/>
        </w:rPr>
        <w:t> </w:t>
      </w:r>
      <w:r>
        <w:rPr/>
        <w:t>tahun</w:t>
      </w:r>
      <w:r>
        <w:rPr>
          <w:spacing w:val="-15"/>
        </w:rPr>
        <w:t> </w:t>
      </w:r>
      <w:r>
        <w:rPr/>
        <w:t>2019</w:t>
      </w:r>
      <w:r>
        <w:rPr>
          <w:spacing w:val="-15"/>
        </w:rPr>
        <w:t> </w:t>
      </w:r>
      <w:r>
        <w:rPr/>
        <w:t>menemukan bahwa pengetahuan investasi tidak memiliki pengaruh signifikan terhadap minat mahasiswa</w:t>
      </w:r>
      <w:r>
        <w:rPr>
          <w:spacing w:val="-15"/>
        </w:rPr>
        <w:t> </w:t>
      </w:r>
      <w:r>
        <w:rPr/>
        <w:t>untuk</w:t>
      </w:r>
      <w:r>
        <w:rPr>
          <w:spacing w:val="-15"/>
        </w:rPr>
        <w:t> </w:t>
      </w:r>
      <w:r>
        <w:rPr/>
        <w:t>berinvestasi,</w:t>
      </w:r>
      <w:r>
        <w:rPr>
          <w:spacing w:val="-15"/>
        </w:rPr>
        <w:t> </w:t>
      </w:r>
      <w:r>
        <w:rPr/>
        <w:t>meskipun</w:t>
      </w:r>
      <w:r>
        <w:rPr>
          <w:spacing w:val="-15"/>
        </w:rPr>
        <w:t> </w:t>
      </w:r>
      <w:r>
        <w:rPr/>
        <w:t>variabel</w:t>
      </w:r>
      <w:r>
        <w:rPr>
          <w:spacing w:val="-15"/>
        </w:rPr>
        <w:t> </w:t>
      </w:r>
      <w:r>
        <w:rPr/>
        <w:t>manfaat</w:t>
      </w:r>
      <w:r>
        <w:rPr>
          <w:spacing w:val="-15"/>
        </w:rPr>
        <w:t> </w:t>
      </w:r>
      <w:r>
        <w:rPr/>
        <w:t>investasi</w:t>
      </w:r>
      <w:r>
        <w:rPr>
          <w:spacing w:val="-15"/>
        </w:rPr>
        <w:t> </w:t>
      </w:r>
      <w:r>
        <w:rPr/>
        <w:t>dan</w:t>
      </w:r>
      <w:r>
        <w:rPr>
          <w:spacing w:val="-15"/>
        </w:rPr>
        <w:t> </w:t>
      </w:r>
      <w:r>
        <w:rPr/>
        <w:t>modal</w:t>
      </w:r>
      <w:r>
        <w:rPr>
          <w:spacing w:val="-15"/>
        </w:rPr>
        <w:t> </w:t>
      </w:r>
      <w:r>
        <w:rPr/>
        <w:t>awal terbukti berpengaruh positif. Hasil tersebut menunjukkan bahwa pengetahuan mengenai investasi saja belum cukup, karena diperlukan dukungan faktor lain seperti</w:t>
      </w:r>
      <w:r>
        <w:rPr>
          <w:spacing w:val="16"/>
        </w:rPr>
        <w:t> </w:t>
      </w:r>
      <w:r>
        <w:rPr/>
        <w:t>motivasi</w:t>
      </w:r>
      <w:r>
        <w:rPr>
          <w:spacing w:val="15"/>
        </w:rPr>
        <w:t> </w:t>
      </w:r>
      <w:r>
        <w:rPr/>
        <w:t>dan</w:t>
      </w:r>
      <w:r>
        <w:rPr>
          <w:spacing w:val="18"/>
        </w:rPr>
        <w:t> </w:t>
      </w:r>
      <w:r>
        <w:rPr/>
        <w:t>kemudahan</w:t>
      </w:r>
      <w:r>
        <w:rPr>
          <w:spacing w:val="19"/>
        </w:rPr>
        <w:t> </w:t>
      </w:r>
      <w:r>
        <w:rPr/>
        <w:t>akses</w:t>
      </w:r>
      <w:r>
        <w:rPr>
          <w:spacing w:val="21"/>
        </w:rPr>
        <w:t> </w:t>
      </w:r>
      <w:r>
        <w:rPr/>
        <w:t>agar</w:t>
      </w:r>
      <w:r>
        <w:rPr>
          <w:spacing w:val="29"/>
        </w:rPr>
        <w:t> </w:t>
      </w:r>
      <w:r>
        <w:rPr/>
        <w:t>minat</w:t>
      </w:r>
      <w:r>
        <w:rPr>
          <w:spacing w:val="29"/>
        </w:rPr>
        <w:t> </w:t>
      </w:r>
      <w:r>
        <w:rPr/>
        <w:t>mahasiswa</w:t>
      </w:r>
      <w:r>
        <w:rPr>
          <w:spacing w:val="21"/>
        </w:rPr>
        <w:t> </w:t>
      </w:r>
      <w:r>
        <w:rPr/>
        <w:t>dalam</w:t>
      </w:r>
      <w:r>
        <w:rPr>
          <w:spacing w:val="19"/>
        </w:rPr>
        <w:t> </w:t>
      </w:r>
      <w:r>
        <w:rPr>
          <w:spacing w:val="-2"/>
        </w:rPr>
        <w:t>berinvestasi</w:t>
      </w:r>
    </w:p>
    <w:p>
      <w:pPr>
        <w:pStyle w:val="BodyText"/>
        <w:spacing w:after="0" w:line="480" w:lineRule="auto"/>
        <w:sectPr>
          <w:headerReference w:type="default" r:id="rId6"/>
          <w:pgSz w:w="11910" w:h="16840"/>
          <w:pgMar w:header="612" w:footer="0" w:top="1920" w:bottom="280" w:left="1700" w:right="1559"/>
          <w:pgNumType w:start="15"/>
        </w:sectPr>
      </w:pPr>
    </w:p>
    <w:p>
      <w:pPr>
        <w:pStyle w:val="BodyText"/>
        <w:spacing w:before="48"/>
        <w:ind w:left="0"/>
        <w:jc w:val="left"/>
      </w:pPr>
    </w:p>
    <w:p>
      <w:pPr>
        <w:pStyle w:val="BodyText"/>
        <w:jc w:val="left"/>
      </w:pPr>
      <w:r>
        <w:rPr/>
        <w:t>dapat</w:t>
      </w:r>
      <w:r>
        <w:rPr>
          <w:spacing w:val="-1"/>
        </w:rPr>
        <w:t> </w:t>
      </w:r>
      <w:r>
        <w:rPr/>
        <w:t>meningkat secara</w:t>
      </w:r>
      <w:r>
        <w:rPr>
          <w:spacing w:val="-5"/>
        </w:rPr>
        <w:t> </w:t>
      </w:r>
      <w:r>
        <w:rPr/>
        <w:t>optimal</w:t>
      </w:r>
      <w:r>
        <w:rPr>
          <w:spacing w:val="-10"/>
        </w:rPr>
        <w:t> </w:t>
      </w:r>
      <w:r>
        <w:rPr/>
        <w:t>(Kindai,</w:t>
      </w:r>
      <w:r>
        <w:rPr>
          <w:spacing w:val="-2"/>
        </w:rPr>
        <w:t> 2019).</w:t>
      </w:r>
    </w:p>
    <w:p>
      <w:pPr>
        <w:pStyle w:val="BodyText"/>
        <w:spacing w:before="0"/>
        <w:ind w:left="0"/>
        <w:jc w:val="left"/>
      </w:pPr>
    </w:p>
    <w:p>
      <w:pPr>
        <w:pStyle w:val="BodyText"/>
        <w:spacing w:line="480" w:lineRule="auto" w:before="0"/>
        <w:ind w:right="144" w:firstLine="682"/>
      </w:pPr>
      <w:r>
        <w:rPr/>
        <w:drawing>
          <wp:anchor distT="0" distB="0" distL="0" distR="0" allowOverlap="1" layoutInCell="1" locked="0" behindDoc="1" simplePos="0" relativeHeight="487398912">
            <wp:simplePos x="0" y="0"/>
            <wp:positionH relativeFrom="page">
              <wp:posOffset>1456944</wp:posOffset>
            </wp:positionH>
            <wp:positionV relativeFrom="paragraph">
              <wp:posOffset>1253407</wp:posOffset>
            </wp:positionV>
            <wp:extent cx="4667249" cy="459104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4667249" cy="4591049"/>
                    </a:xfrm>
                    <a:prstGeom prst="rect">
                      <a:avLst/>
                    </a:prstGeom>
                  </pic:spPr>
                </pic:pic>
              </a:graphicData>
            </a:graphic>
          </wp:anchor>
        </w:drawing>
      </w:r>
      <w:r>
        <w:rPr/>
        <w:t>Pengetahuan mengenai investasi juga memiliki peran dalam menurunkan rasa</w:t>
      </w:r>
      <w:r>
        <w:rPr>
          <w:spacing w:val="-4"/>
        </w:rPr>
        <w:t> </w:t>
      </w:r>
      <w:r>
        <w:rPr/>
        <w:t>takut</w:t>
      </w:r>
      <w:r>
        <w:rPr>
          <w:spacing w:val="-3"/>
        </w:rPr>
        <w:t> </w:t>
      </w:r>
      <w:r>
        <w:rPr/>
        <w:t>serta</w:t>
      </w:r>
      <w:r>
        <w:rPr>
          <w:spacing w:val="-9"/>
        </w:rPr>
        <w:t> </w:t>
      </w:r>
      <w:r>
        <w:rPr/>
        <w:t>keraguan</w:t>
      </w:r>
      <w:r>
        <w:rPr>
          <w:spacing w:val="-3"/>
        </w:rPr>
        <w:t> </w:t>
      </w:r>
      <w:r>
        <w:rPr/>
        <w:t>mahasiswa</w:t>
      </w:r>
      <w:r>
        <w:rPr>
          <w:spacing w:val="-5"/>
        </w:rPr>
        <w:t> </w:t>
      </w:r>
      <w:r>
        <w:rPr/>
        <w:t>ketika</w:t>
      </w:r>
      <w:r>
        <w:rPr>
          <w:spacing w:val="-4"/>
        </w:rPr>
        <w:t> </w:t>
      </w:r>
      <w:r>
        <w:rPr/>
        <w:t>akan</w:t>
      </w:r>
      <w:r>
        <w:rPr>
          <w:spacing w:val="-8"/>
        </w:rPr>
        <w:t> </w:t>
      </w:r>
      <w:r>
        <w:rPr/>
        <w:t>berinvestasi.</w:t>
      </w:r>
      <w:r>
        <w:rPr>
          <w:spacing w:val="-2"/>
        </w:rPr>
        <w:t> </w:t>
      </w:r>
      <w:r>
        <w:rPr/>
        <w:t>Dengan</w:t>
      </w:r>
      <w:r>
        <w:rPr>
          <w:spacing w:val="-8"/>
        </w:rPr>
        <w:t> </w:t>
      </w:r>
      <w:r>
        <w:rPr/>
        <w:t>pemahaman yang baik, mahasiswa dapat mempertimbangkan risiko secara lebih logis dan mampu membuat keputusan investasi yang lebih rasional. Hal ini sejalan dengan Theory</w:t>
      </w:r>
      <w:r>
        <w:rPr>
          <w:spacing w:val="-15"/>
        </w:rPr>
        <w:t> </w:t>
      </w:r>
      <w:r>
        <w:rPr/>
        <w:t>of</w:t>
      </w:r>
      <w:r>
        <w:rPr>
          <w:spacing w:val="-15"/>
        </w:rPr>
        <w:t> </w:t>
      </w:r>
      <w:r>
        <w:rPr/>
        <w:t>Planned</w:t>
      </w:r>
      <w:r>
        <w:rPr>
          <w:spacing w:val="-9"/>
        </w:rPr>
        <w:t> </w:t>
      </w:r>
      <w:r>
        <w:rPr/>
        <w:t>Behavior,</w:t>
      </w:r>
      <w:r>
        <w:rPr>
          <w:spacing w:val="-2"/>
        </w:rPr>
        <w:t> </w:t>
      </w:r>
      <w:r>
        <w:rPr/>
        <w:t>yang</w:t>
      </w:r>
      <w:r>
        <w:rPr>
          <w:spacing w:val="-3"/>
        </w:rPr>
        <w:t> </w:t>
      </w:r>
      <w:r>
        <w:rPr/>
        <w:t>menjelaskan</w:t>
      </w:r>
      <w:r>
        <w:rPr>
          <w:spacing w:val="-8"/>
        </w:rPr>
        <w:t> </w:t>
      </w:r>
      <w:r>
        <w:rPr/>
        <w:t>bahwa</w:t>
      </w:r>
      <w:r>
        <w:rPr>
          <w:spacing w:val="-9"/>
        </w:rPr>
        <w:t> </w:t>
      </w:r>
      <w:r>
        <w:rPr/>
        <w:t>pengetahuan</w:t>
      </w:r>
      <w:r>
        <w:rPr>
          <w:spacing w:val="-13"/>
        </w:rPr>
        <w:t> </w:t>
      </w:r>
      <w:r>
        <w:rPr/>
        <w:t>dan</w:t>
      </w:r>
      <w:r>
        <w:rPr>
          <w:spacing w:val="-13"/>
        </w:rPr>
        <w:t> </w:t>
      </w:r>
      <w:r>
        <w:rPr/>
        <w:t>keyakinan individu</w:t>
      </w:r>
      <w:r>
        <w:rPr>
          <w:spacing w:val="-4"/>
        </w:rPr>
        <w:t> </w:t>
      </w:r>
      <w:r>
        <w:rPr/>
        <w:t>dapat memengaruhi</w:t>
      </w:r>
      <w:r>
        <w:rPr>
          <w:spacing w:val="-5"/>
        </w:rPr>
        <w:t> </w:t>
      </w:r>
      <w:r>
        <w:rPr/>
        <w:t>sikap</w:t>
      </w:r>
      <w:r>
        <w:rPr>
          <w:spacing w:val="-4"/>
        </w:rPr>
        <w:t> </w:t>
      </w:r>
      <w:r>
        <w:rPr/>
        <w:t>serta</w:t>
      </w:r>
      <w:r>
        <w:rPr>
          <w:spacing w:val="-5"/>
        </w:rPr>
        <w:t> </w:t>
      </w:r>
      <w:r>
        <w:rPr/>
        <w:t>niat seseorang</w:t>
      </w:r>
      <w:r>
        <w:rPr>
          <w:spacing w:val="-4"/>
        </w:rPr>
        <w:t> </w:t>
      </w:r>
      <w:r>
        <w:rPr/>
        <w:t>dalam</w:t>
      </w:r>
      <w:r>
        <w:rPr>
          <w:spacing w:val="-9"/>
        </w:rPr>
        <w:t> </w:t>
      </w:r>
      <w:r>
        <w:rPr/>
        <w:t>mengambil</w:t>
      </w:r>
      <w:r>
        <w:rPr>
          <w:spacing w:val="-8"/>
        </w:rPr>
        <w:t> </w:t>
      </w:r>
      <w:r>
        <w:rPr/>
        <w:t>tindakan tertentu, termasuk keputusan untuk berinvestasi (Pratiwi, 2020).</w:t>
      </w:r>
    </w:p>
    <w:p>
      <w:pPr>
        <w:pStyle w:val="BodyText"/>
        <w:spacing w:line="480" w:lineRule="auto"/>
        <w:ind w:right="139" w:firstLine="682"/>
      </w:pPr>
      <w:r>
        <w:rPr/>
        <w:t>Penelitian lain yang dilakukan di Universitas Sulawesi Barat pada tahun 2024 turut mendukung hasil sebelumnya, di mana pengetahuan investasi dan motivasi terbukti memiliki pengaruh signifikan terhadap minat mahasiswa untuk berinvestasi. Penelitian ini menggunakan metode survei dengan melibatkan 81 mahasiswa sebagai responden dan menunjukkan bahwa peningkatan pemahaman mengenai investasi dapat mendorong mahasiswa untuk terlibat dalam aktivitas pasar modal (Ekasari, 2024).</w:t>
      </w:r>
    </w:p>
    <w:p>
      <w:pPr>
        <w:pStyle w:val="BodyText"/>
        <w:spacing w:line="480" w:lineRule="auto"/>
        <w:ind w:right="140" w:firstLine="682"/>
      </w:pPr>
      <w:r>
        <w:rPr/>
        <w:t>Selain itu, literasi keuangan yang merupakan bagian dari pengetahuan investasi juga memiliki peran besar dalam memengaruhi minat seseorang untuk berinvestasi. Penelitian yang dilakukan di Universitas YPPI Rembang pada tahun 2021 menunjukkan bahwa literasi keuangan memberikan pengaruh positif dan signifikan terhadap minat investasi mahasiswa. Individu yang memiliki literasi keuangan yang baik cenderung lebih mampu mengelola pengeluaran serta memanfaatkan modal investasi secara lebih optimal, sehingga meningkatkan tingkat kepercayaan diri dan minat mereka untuk berinvestasi (Edunomic, 2021).</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1" w:firstLine="682"/>
      </w:pPr>
      <w:r>
        <w:rPr/>
        <w:drawing>
          <wp:anchor distT="0" distB="0" distL="0" distR="0" allowOverlap="1" layoutInCell="1" locked="0" behindDoc="1" simplePos="0" relativeHeight="487399424">
            <wp:simplePos x="0" y="0"/>
            <wp:positionH relativeFrom="page">
              <wp:posOffset>1456944</wp:posOffset>
            </wp:positionH>
            <wp:positionV relativeFrom="paragraph">
              <wp:posOffset>1604532</wp:posOffset>
            </wp:positionV>
            <wp:extent cx="4667249" cy="459104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5" cstate="print"/>
                    <a:stretch>
                      <a:fillRect/>
                    </a:stretch>
                  </pic:blipFill>
                  <pic:spPr>
                    <a:xfrm>
                      <a:off x="0" y="0"/>
                      <a:ext cx="4667249" cy="4591049"/>
                    </a:xfrm>
                    <a:prstGeom prst="rect">
                      <a:avLst/>
                    </a:prstGeom>
                  </pic:spPr>
                </pic:pic>
              </a:graphicData>
            </a:graphic>
          </wp:anchor>
        </w:drawing>
      </w:r>
      <w:r>
        <w:rPr/>
        <w:t>Selain itu, penelitian di Fakultas Ekonomi Universitas Mataram (FEB Unram)</w:t>
      </w:r>
      <w:r>
        <w:rPr>
          <w:spacing w:val="-7"/>
        </w:rPr>
        <w:t> </w:t>
      </w:r>
      <w:r>
        <w:rPr/>
        <w:t>pada</w:t>
      </w:r>
      <w:r>
        <w:rPr>
          <w:spacing w:val="-10"/>
        </w:rPr>
        <w:t> </w:t>
      </w:r>
      <w:r>
        <w:rPr/>
        <w:t>tahun</w:t>
      </w:r>
      <w:r>
        <w:rPr>
          <w:spacing w:val="-13"/>
        </w:rPr>
        <w:t> </w:t>
      </w:r>
      <w:r>
        <w:rPr/>
        <w:t>2023</w:t>
      </w:r>
      <w:r>
        <w:rPr>
          <w:spacing w:val="-4"/>
        </w:rPr>
        <w:t> </w:t>
      </w:r>
      <w:r>
        <w:rPr/>
        <w:t>juga</w:t>
      </w:r>
      <w:r>
        <w:rPr>
          <w:spacing w:val="-5"/>
        </w:rPr>
        <w:t> </w:t>
      </w:r>
      <w:r>
        <w:rPr/>
        <w:t>menunjukkan</w:t>
      </w:r>
      <w:r>
        <w:rPr>
          <w:spacing w:val="-9"/>
        </w:rPr>
        <w:t> </w:t>
      </w:r>
      <w:r>
        <w:rPr/>
        <w:t>bahwa</w:t>
      </w:r>
      <w:r>
        <w:rPr>
          <w:spacing w:val="-6"/>
        </w:rPr>
        <w:t> </w:t>
      </w:r>
      <w:r>
        <w:rPr/>
        <w:t>pengetahuan</w:t>
      </w:r>
      <w:r>
        <w:rPr>
          <w:spacing w:val="-9"/>
        </w:rPr>
        <w:t> </w:t>
      </w:r>
      <w:r>
        <w:rPr/>
        <w:t>investasi,</w:t>
      </w:r>
      <w:r>
        <w:rPr>
          <w:spacing w:val="-7"/>
        </w:rPr>
        <w:t> </w:t>
      </w:r>
      <w:r>
        <w:rPr/>
        <w:t>harapan terhadap return, serta pemahaman terhadap perkembangan teknologi secara simultan berpengaruh signifikan terhadap minat mahasiswa dalam berinvestasi. Pengetahuan</w:t>
      </w:r>
      <w:r>
        <w:rPr>
          <w:spacing w:val="-11"/>
        </w:rPr>
        <w:t> </w:t>
      </w:r>
      <w:r>
        <w:rPr/>
        <w:t>investasi</w:t>
      </w:r>
      <w:r>
        <w:rPr>
          <w:spacing w:val="-15"/>
        </w:rPr>
        <w:t> </w:t>
      </w:r>
      <w:r>
        <w:rPr/>
        <w:t>yang</w:t>
      </w:r>
      <w:r>
        <w:rPr>
          <w:spacing w:val="-11"/>
        </w:rPr>
        <w:t> </w:t>
      </w:r>
      <w:r>
        <w:rPr/>
        <w:t>memadai</w:t>
      </w:r>
      <w:r>
        <w:rPr>
          <w:spacing w:val="-15"/>
        </w:rPr>
        <w:t> </w:t>
      </w:r>
      <w:r>
        <w:rPr/>
        <w:t>membantu</w:t>
      </w:r>
      <w:r>
        <w:rPr>
          <w:spacing w:val="-11"/>
        </w:rPr>
        <w:t> </w:t>
      </w:r>
      <w:r>
        <w:rPr/>
        <w:t>mahasiswa</w:t>
      </w:r>
      <w:r>
        <w:rPr>
          <w:spacing w:val="-12"/>
        </w:rPr>
        <w:t> </w:t>
      </w:r>
      <w:r>
        <w:rPr/>
        <w:t>dalam</w:t>
      </w:r>
      <w:r>
        <w:rPr>
          <w:spacing w:val="-15"/>
        </w:rPr>
        <w:t> </w:t>
      </w:r>
      <w:r>
        <w:rPr/>
        <w:t>memperkirakan dan menghitung potensi keuntungan, sedangkan kemajuan teknologi berperan dalam memberikan kemudahan akses serta proses transaksi investasi (Risma, </w:t>
      </w:r>
      <w:r>
        <w:rPr>
          <w:spacing w:val="-2"/>
        </w:rPr>
        <w:t>2023).</w:t>
      </w:r>
    </w:p>
    <w:p>
      <w:pPr>
        <w:pStyle w:val="BodyText"/>
        <w:spacing w:line="480" w:lineRule="auto"/>
        <w:ind w:right="141" w:firstLine="682"/>
      </w:pPr>
      <w:r>
        <w:rPr/>
        <w:t>Secara umum, berbagai literatur dan temuan empiris menunjukkan bahwa pengetahuan investasi merupakan elemen penting yang perlu dimiliki mahasiswa untuk meningkatkan minat serta keberanian dalam berinvestasi. Kurangnya pemahaman mengenai investasi dapat menyebabkan keraguan dan ketakutan terhadap</w:t>
      </w:r>
      <w:r>
        <w:rPr>
          <w:spacing w:val="-15"/>
        </w:rPr>
        <w:t> </w:t>
      </w:r>
      <w:r>
        <w:rPr/>
        <w:t>potensi</w:t>
      </w:r>
      <w:r>
        <w:rPr>
          <w:spacing w:val="-15"/>
        </w:rPr>
        <w:t> </w:t>
      </w:r>
      <w:r>
        <w:rPr/>
        <w:t>kerugian,</w:t>
      </w:r>
      <w:r>
        <w:rPr>
          <w:spacing w:val="-11"/>
        </w:rPr>
        <w:t> </w:t>
      </w:r>
      <w:r>
        <w:rPr/>
        <w:t>sehingga</w:t>
      </w:r>
      <w:r>
        <w:rPr>
          <w:spacing w:val="-7"/>
        </w:rPr>
        <w:t> </w:t>
      </w:r>
      <w:r>
        <w:rPr/>
        <w:t>minat</w:t>
      </w:r>
      <w:r>
        <w:rPr>
          <w:spacing w:val="-6"/>
        </w:rPr>
        <w:t> </w:t>
      </w:r>
      <w:r>
        <w:rPr/>
        <w:t>untuk</w:t>
      </w:r>
      <w:r>
        <w:rPr>
          <w:spacing w:val="-11"/>
        </w:rPr>
        <w:t> </w:t>
      </w:r>
      <w:r>
        <w:rPr/>
        <w:t>berinvestasi</w:t>
      </w:r>
      <w:r>
        <w:rPr>
          <w:spacing w:val="-14"/>
        </w:rPr>
        <w:t> </w:t>
      </w:r>
      <w:r>
        <w:rPr/>
        <w:t>menjadi</w:t>
      </w:r>
      <w:r>
        <w:rPr>
          <w:spacing w:val="-15"/>
        </w:rPr>
        <w:t> </w:t>
      </w:r>
      <w:r>
        <w:rPr/>
        <w:t>rendah.</w:t>
      </w:r>
      <w:r>
        <w:rPr>
          <w:spacing w:val="-9"/>
        </w:rPr>
        <w:t> </w:t>
      </w:r>
      <w:r>
        <w:rPr/>
        <w:t>Oleh karena itu, peningkatan pengetahuan investasi melalui pendidikan formal maupun pelatihan nonformal dinilai sebagai langkah strategis yang perlu dilakukan oleh lembaga pendidikan dan otoritas pasar modal guna mendorong keterlibatan mahasiswa sebagai calon investor di masa mendatang.</w:t>
      </w:r>
    </w:p>
    <w:p>
      <w:pPr>
        <w:pStyle w:val="Heading1"/>
        <w:numPr>
          <w:ilvl w:val="2"/>
          <w:numId w:val="1"/>
        </w:numPr>
        <w:tabs>
          <w:tab w:pos="1108" w:val="left" w:leader="none"/>
        </w:tabs>
        <w:spacing w:line="240" w:lineRule="auto" w:before="2" w:after="0"/>
        <w:ind w:left="1108" w:right="0" w:hanging="542"/>
        <w:jc w:val="both"/>
      </w:pPr>
      <w:bookmarkStart w:name="2.1.2 Fasilitas Online Trading" w:id="4"/>
      <w:bookmarkEnd w:id="4"/>
      <w:r>
        <w:rPr>
          <w:b w:val="0"/>
        </w:rPr>
      </w:r>
      <w:r>
        <w:rPr/>
        <w:t>Fasilitas</w:t>
      </w:r>
      <w:r>
        <w:rPr>
          <w:spacing w:val="-10"/>
        </w:rPr>
        <w:t> </w:t>
      </w:r>
      <w:r>
        <w:rPr/>
        <w:t>Online</w:t>
      </w:r>
      <w:r>
        <w:rPr>
          <w:spacing w:val="-11"/>
        </w:rPr>
        <w:t> </w:t>
      </w:r>
      <w:r>
        <w:rPr>
          <w:spacing w:val="-2"/>
        </w:rPr>
        <w:t>Trading</w:t>
      </w:r>
    </w:p>
    <w:p>
      <w:pPr>
        <w:pStyle w:val="BodyText"/>
        <w:spacing w:line="480" w:lineRule="auto" w:before="242"/>
        <w:ind w:right="145" w:firstLine="682"/>
      </w:pPr>
      <w:r>
        <w:rPr/>
        <w:t>Perkembangan teknologi</w:t>
      </w:r>
      <w:r>
        <w:rPr>
          <w:spacing w:val="-3"/>
        </w:rPr>
        <w:t> </w:t>
      </w:r>
      <w:r>
        <w:rPr/>
        <w:t>digital</w:t>
      </w:r>
      <w:r>
        <w:rPr>
          <w:spacing w:val="-3"/>
        </w:rPr>
        <w:t> </w:t>
      </w:r>
      <w:r>
        <w:rPr/>
        <w:t>telah memberikan dampak signifikan pada aktivitas investasi, salah satunya melalui kemudahan akses yang ditawarkan oleh layanan</w:t>
      </w:r>
      <w:r>
        <w:rPr>
          <w:spacing w:val="-2"/>
        </w:rPr>
        <w:t> </w:t>
      </w:r>
      <w:r>
        <w:rPr/>
        <w:t>online trading. Fasilitas ini</w:t>
      </w:r>
      <w:r>
        <w:rPr>
          <w:spacing w:val="-1"/>
        </w:rPr>
        <w:t> </w:t>
      </w:r>
      <w:r>
        <w:rPr/>
        <w:t>memungkinkan investor,</w:t>
      </w:r>
      <w:r>
        <w:rPr>
          <w:spacing w:val="-3"/>
        </w:rPr>
        <w:t> </w:t>
      </w:r>
      <w:r>
        <w:rPr/>
        <w:t>termasuk mahasiswa yang berasal</w:t>
      </w:r>
      <w:r>
        <w:rPr>
          <w:spacing w:val="-9"/>
        </w:rPr>
        <w:t> </w:t>
      </w:r>
      <w:r>
        <w:rPr/>
        <w:t>dari</w:t>
      </w:r>
      <w:r>
        <w:rPr>
          <w:spacing w:val="-5"/>
        </w:rPr>
        <w:t> </w:t>
      </w:r>
      <w:r>
        <w:rPr/>
        <w:t>generasi milenial</w:t>
      </w:r>
      <w:r>
        <w:rPr>
          <w:spacing w:val="-9"/>
        </w:rPr>
        <w:t> </w:t>
      </w:r>
      <w:r>
        <w:rPr/>
        <w:t>dan</w:t>
      </w:r>
      <w:r>
        <w:rPr>
          <w:spacing w:val="-5"/>
        </w:rPr>
        <w:t> </w:t>
      </w:r>
      <w:r>
        <w:rPr/>
        <w:t>generasi</w:t>
      </w:r>
      <w:r>
        <w:rPr>
          <w:spacing w:val="-5"/>
        </w:rPr>
        <w:t> </w:t>
      </w:r>
      <w:r>
        <w:rPr/>
        <w:t>Z, untuk melakukan</w:t>
      </w:r>
      <w:r>
        <w:rPr>
          <w:spacing w:val="-5"/>
        </w:rPr>
        <w:t> </w:t>
      </w:r>
      <w:r>
        <w:rPr/>
        <w:t>transaksi jual beli saham serta</w:t>
      </w:r>
      <w:r>
        <w:rPr>
          <w:spacing w:val="26"/>
        </w:rPr>
        <w:t> </w:t>
      </w:r>
      <w:r>
        <w:rPr/>
        <w:t>instrumen pasar</w:t>
      </w:r>
      <w:r>
        <w:rPr>
          <w:spacing w:val="28"/>
        </w:rPr>
        <w:t> </w:t>
      </w:r>
      <w:r>
        <w:rPr/>
        <w:t>modal lainnya</w:t>
      </w:r>
      <w:r>
        <w:rPr>
          <w:spacing w:val="25"/>
        </w:rPr>
        <w:t> </w:t>
      </w:r>
      <w:r>
        <w:rPr/>
        <w:t>secara</w:t>
      </w:r>
      <w:r>
        <w:rPr>
          <w:spacing w:val="22"/>
        </w:rPr>
        <w:t> </w:t>
      </w:r>
      <w:r>
        <w:rPr/>
        <w:t>daring</w:t>
      </w:r>
      <w:r>
        <w:rPr>
          <w:spacing w:val="26"/>
        </w:rPr>
        <w:t> </w:t>
      </w:r>
      <w:r>
        <w:rPr/>
        <w:t>melalui perangkat</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8"/>
      </w:pPr>
      <w:r>
        <w:rPr/>
        <w:t>seperti smartphone maupun komputer yang memiliki akses internet. Kehadiran fasilitas tersebut membuat proses investasi menjadi lebih efisien, praktis, dan fleksibel karena dapat dilakukan kapan pun dan di mana pun tanpa perlu mendatangi kantor perusahaan sekuritas secara langsung (Putra Maulana, 2023).</w:t>
      </w:r>
    </w:p>
    <w:p>
      <w:pPr>
        <w:pStyle w:val="BodyText"/>
        <w:spacing w:line="480" w:lineRule="auto" w:before="0"/>
        <w:ind w:right="146" w:firstLine="682"/>
      </w:pPr>
      <w:r>
        <w:rPr/>
        <w:drawing>
          <wp:anchor distT="0" distB="0" distL="0" distR="0" allowOverlap="1" layoutInCell="1" locked="0" behindDoc="1" simplePos="0" relativeHeight="487399936">
            <wp:simplePos x="0" y="0"/>
            <wp:positionH relativeFrom="page">
              <wp:posOffset>1456944</wp:posOffset>
            </wp:positionH>
            <wp:positionV relativeFrom="paragraph">
              <wp:posOffset>201937</wp:posOffset>
            </wp:positionV>
            <wp:extent cx="4667249" cy="459104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667249" cy="4591049"/>
                    </a:xfrm>
                    <a:prstGeom prst="rect">
                      <a:avLst/>
                    </a:prstGeom>
                  </pic:spPr>
                </pic:pic>
              </a:graphicData>
            </a:graphic>
          </wp:anchor>
        </w:drawing>
      </w:r>
      <w:r>
        <w:rPr/>
        <w:t>Penelitian yang dilakukan oleh Putra Maulana (2023) terhadap mahasiswa Pendidikan Ekonomi Universitas Lampung menunjukkan bahwa sistem online trading bersama dengan literasi keuangan memiliki pengaruh signifikan terhadap minat investasi mahasiswa. Nilai koefisien determinasi dalam penelitian tersebut sebesar 40,5%, yang berarti bahwa kedua variabel tersebut mampu menjelaskan 40,5%</w:t>
      </w:r>
      <w:r>
        <w:rPr>
          <w:spacing w:val="-9"/>
        </w:rPr>
        <w:t> </w:t>
      </w:r>
      <w:r>
        <w:rPr/>
        <w:t>variasi</w:t>
      </w:r>
      <w:r>
        <w:rPr>
          <w:spacing w:val="-11"/>
        </w:rPr>
        <w:t> </w:t>
      </w:r>
      <w:r>
        <w:rPr/>
        <w:t>minat</w:t>
      </w:r>
      <w:r>
        <w:rPr>
          <w:spacing w:val="-2"/>
        </w:rPr>
        <w:t> </w:t>
      </w:r>
      <w:r>
        <w:rPr/>
        <w:t>mahasiswa</w:t>
      </w:r>
      <w:r>
        <w:rPr>
          <w:spacing w:val="-8"/>
        </w:rPr>
        <w:t> </w:t>
      </w:r>
      <w:r>
        <w:rPr/>
        <w:t>dalam</w:t>
      </w:r>
      <w:r>
        <w:rPr>
          <w:spacing w:val="-11"/>
        </w:rPr>
        <w:t> </w:t>
      </w:r>
      <w:r>
        <w:rPr/>
        <w:t>berinvestasi,</w:t>
      </w:r>
      <w:r>
        <w:rPr>
          <w:spacing w:val="-5"/>
        </w:rPr>
        <w:t> </w:t>
      </w:r>
      <w:r>
        <w:rPr/>
        <w:t>sementara</w:t>
      </w:r>
      <w:r>
        <w:rPr>
          <w:spacing w:val="-8"/>
        </w:rPr>
        <w:t> </w:t>
      </w:r>
      <w:r>
        <w:rPr/>
        <w:t>sisanya</w:t>
      </w:r>
      <w:r>
        <w:rPr>
          <w:spacing w:val="-8"/>
        </w:rPr>
        <w:t> </w:t>
      </w:r>
      <w:r>
        <w:rPr/>
        <w:t>dipengaruhi oleh faktor lain di luar model penelitian. Temuan ini memperlihatkan bahwa kemudahan akses dan kecepatan transaksi melalui sistem online trading menjadi salah satu faktor yang berperan dalam meningkatkan minat mahasiswa untuk memulai aktivitas investasi (Putra Maulana, 2023).</w:t>
      </w:r>
    </w:p>
    <w:p>
      <w:pPr>
        <w:pStyle w:val="BodyText"/>
        <w:spacing w:line="480" w:lineRule="auto" w:before="2"/>
        <w:ind w:right="140" w:firstLine="682"/>
      </w:pPr>
      <w:r>
        <w:rPr/>
        <w:t>Selain itu, penelitian yang dilakukan oleh Dewi dan Pradnyani (2019) di Politeknik Negeri Bali menunjukkan bahwa fasilitas online trading yang dapat diakses melalui smartphone atau perangkat lain berbasis internet memberikan kemudahan yang signifikan bagi mahasiswa sebagai calon investor muda yang sudah terbiasa dengan teknologi digital. Temuan penelitian tersebut juga menjelaskan bahwa fasilitas online trading dan modal</w:t>
      </w:r>
      <w:r>
        <w:rPr>
          <w:spacing w:val="-2"/>
        </w:rPr>
        <w:t> </w:t>
      </w:r>
      <w:r>
        <w:rPr/>
        <w:t>awal yang rendah memiliki pengaruh positif serta signifikan terhadap minat investasi mahasiswa jurusan akuntansi di Politeknik Negeri Bali (Dewi &amp; Pradnyani, 2019). Hal ini menunjukkan</w:t>
      </w:r>
      <w:r>
        <w:rPr>
          <w:spacing w:val="36"/>
        </w:rPr>
        <w:t>  </w:t>
      </w:r>
      <w:r>
        <w:rPr/>
        <w:t>bahwa</w:t>
      </w:r>
      <w:r>
        <w:rPr>
          <w:spacing w:val="40"/>
        </w:rPr>
        <w:t>  </w:t>
      </w:r>
      <w:r>
        <w:rPr/>
        <w:t>faktor</w:t>
      </w:r>
      <w:r>
        <w:rPr>
          <w:spacing w:val="40"/>
        </w:rPr>
        <w:t>  </w:t>
      </w:r>
      <w:r>
        <w:rPr/>
        <w:t>kemudahan</w:t>
      </w:r>
      <w:r>
        <w:rPr>
          <w:spacing w:val="36"/>
        </w:rPr>
        <w:t>  </w:t>
      </w:r>
      <w:r>
        <w:rPr/>
        <w:t>akses</w:t>
      </w:r>
      <w:r>
        <w:rPr>
          <w:spacing w:val="38"/>
        </w:rPr>
        <w:t>  </w:t>
      </w:r>
      <w:r>
        <w:rPr/>
        <w:t>dan</w:t>
      </w:r>
      <w:r>
        <w:rPr>
          <w:spacing w:val="36"/>
        </w:rPr>
        <w:t>  </w:t>
      </w:r>
      <w:r>
        <w:rPr/>
        <w:t>keterjangkauan</w:t>
      </w:r>
      <w:r>
        <w:rPr>
          <w:spacing w:val="39"/>
        </w:rPr>
        <w:t>  </w:t>
      </w:r>
      <w:r>
        <w:rPr>
          <w:spacing w:val="-2"/>
        </w:rPr>
        <w:t>modal</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50"/>
      </w:pPr>
      <w:r>
        <w:rPr>
          <w:spacing w:val="-2"/>
        </w:rPr>
        <w:t>merupakan</w:t>
      </w:r>
      <w:r>
        <w:rPr>
          <w:spacing w:val="-11"/>
        </w:rPr>
        <w:t> </w:t>
      </w:r>
      <w:r>
        <w:rPr>
          <w:spacing w:val="-2"/>
        </w:rPr>
        <w:t>aspek</w:t>
      </w:r>
      <w:r>
        <w:rPr>
          <w:spacing w:val="-5"/>
        </w:rPr>
        <w:t> </w:t>
      </w:r>
      <w:r>
        <w:rPr>
          <w:spacing w:val="-2"/>
        </w:rPr>
        <w:t>penting yang mampu mendorong</w:t>
      </w:r>
      <w:r>
        <w:rPr>
          <w:spacing w:val="-11"/>
        </w:rPr>
        <w:t> </w:t>
      </w:r>
      <w:r>
        <w:rPr>
          <w:spacing w:val="-2"/>
        </w:rPr>
        <w:t>meningkatnya minat mahasiswa </w:t>
      </w:r>
      <w:r>
        <w:rPr/>
        <w:t>dalam melakukan investasi.</w:t>
      </w:r>
    </w:p>
    <w:p>
      <w:pPr>
        <w:pStyle w:val="BodyText"/>
        <w:spacing w:line="480" w:lineRule="auto" w:before="0"/>
        <w:ind w:right="143" w:firstLine="682"/>
      </w:pPr>
      <w:r>
        <w:rPr/>
        <w:drawing>
          <wp:anchor distT="0" distB="0" distL="0" distR="0" allowOverlap="1" layoutInCell="1" locked="0" behindDoc="1" simplePos="0" relativeHeight="487400448">
            <wp:simplePos x="0" y="0"/>
            <wp:positionH relativeFrom="page">
              <wp:posOffset>1456944</wp:posOffset>
            </wp:positionH>
            <wp:positionV relativeFrom="paragraph">
              <wp:posOffset>902917</wp:posOffset>
            </wp:positionV>
            <wp:extent cx="4667249" cy="459104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5" cstate="print"/>
                    <a:stretch>
                      <a:fillRect/>
                    </a:stretch>
                  </pic:blipFill>
                  <pic:spPr>
                    <a:xfrm>
                      <a:off x="0" y="0"/>
                      <a:ext cx="4667249" cy="4591049"/>
                    </a:xfrm>
                    <a:prstGeom prst="rect">
                      <a:avLst/>
                    </a:prstGeom>
                  </pic:spPr>
                </pic:pic>
              </a:graphicData>
            </a:graphic>
          </wp:anchor>
        </w:drawing>
      </w:r>
      <w:r>
        <w:rPr/>
        <w:t>Selain itu, penelitian yang dilakukan oleh Sapitri dan Anhar (2020) pada mahasiswa program studi manajemen di Jakarta yang termasuk dalam generasi milenial</w:t>
      </w:r>
      <w:r>
        <w:rPr>
          <w:spacing w:val="-8"/>
        </w:rPr>
        <w:t> </w:t>
      </w:r>
      <w:r>
        <w:rPr/>
        <w:t>menunjukkan</w:t>
      </w:r>
      <w:r>
        <w:rPr>
          <w:spacing w:val="-8"/>
        </w:rPr>
        <w:t> </w:t>
      </w:r>
      <w:r>
        <w:rPr/>
        <w:t>bahwa fasilitas</w:t>
      </w:r>
      <w:r>
        <w:rPr>
          <w:spacing w:val="-5"/>
        </w:rPr>
        <w:t> </w:t>
      </w:r>
      <w:r>
        <w:rPr/>
        <w:t>online</w:t>
      </w:r>
      <w:r>
        <w:rPr>
          <w:spacing w:val="-4"/>
        </w:rPr>
        <w:t> </w:t>
      </w:r>
      <w:r>
        <w:rPr/>
        <w:t>trading</w:t>
      </w:r>
      <w:r>
        <w:rPr>
          <w:spacing w:val="-3"/>
        </w:rPr>
        <w:t> </w:t>
      </w:r>
      <w:r>
        <w:rPr/>
        <w:t>serta</w:t>
      </w:r>
      <w:r>
        <w:rPr>
          <w:spacing w:val="-4"/>
        </w:rPr>
        <w:t> </w:t>
      </w:r>
      <w:r>
        <w:rPr/>
        <w:t>persepsi</w:t>
      </w:r>
      <w:r>
        <w:rPr>
          <w:spacing w:val="-11"/>
        </w:rPr>
        <w:t> </w:t>
      </w:r>
      <w:r>
        <w:rPr/>
        <w:t>risiko memiliki pengaruh positif dan signifikan terhadap minat investasi. Sementara itu, variabel modal awal menunjukkan pengaruh positif namun tidak signifikan ketika diuji secara parsial. Meskipun demikian, ketika ketiga variabel tersebut diuji secara simultan, hasilnya menunjukkan adanya pengaruh signifikan terhadap minat investasi</w:t>
      </w:r>
      <w:r>
        <w:rPr>
          <w:spacing w:val="-6"/>
        </w:rPr>
        <w:t> </w:t>
      </w:r>
      <w:r>
        <w:rPr/>
        <w:t>mahasiswa</w:t>
      </w:r>
      <w:r>
        <w:rPr>
          <w:spacing w:val="-4"/>
        </w:rPr>
        <w:t> </w:t>
      </w:r>
      <w:r>
        <w:rPr/>
        <w:t>(Sapitri</w:t>
      </w:r>
      <w:r>
        <w:rPr>
          <w:spacing w:val="-6"/>
        </w:rPr>
        <w:t> </w:t>
      </w:r>
      <w:r>
        <w:rPr/>
        <w:t>&amp;</w:t>
      </w:r>
      <w:r>
        <w:rPr>
          <w:spacing w:val="-2"/>
        </w:rPr>
        <w:t> </w:t>
      </w:r>
      <w:r>
        <w:rPr/>
        <w:t>Anhar, 2020).</w:t>
      </w:r>
      <w:r>
        <w:rPr>
          <w:spacing w:val="-5"/>
        </w:rPr>
        <w:t> </w:t>
      </w:r>
      <w:r>
        <w:rPr/>
        <w:t>Temuan</w:t>
      </w:r>
      <w:r>
        <w:rPr>
          <w:spacing w:val="-2"/>
        </w:rPr>
        <w:t> </w:t>
      </w:r>
      <w:r>
        <w:rPr/>
        <w:t>ini</w:t>
      </w:r>
      <w:r>
        <w:rPr>
          <w:spacing w:val="-2"/>
        </w:rPr>
        <w:t> </w:t>
      </w:r>
      <w:r>
        <w:rPr/>
        <w:t>mengindikasikan</w:t>
      </w:r>
      <w:r>
        <w:rPr>
          <w:spacing w:val="-2"/>
        </w:rPr>
        <w:t> </w:t>
      </w:r>
      <w:r>
        <w:rPr/>
        <w:t>bahwa kemudahan penggunaan fasilitas online trading dan persepsi risiko yang proporsional merupakan faktor penting yang dapat meningkatkan minat investasi pada generasi muda.</w:t>
      </w:r>
    </w:p>
    <w:p>
      <w:pPr>
        <w:pStyle w:val="BodyText"/>
        <w:spacing w:line="480" w:lineRule="auto" w:before="2"/>
        <w:ind w:right="148" w:firstLine="682"/>
      </w:pPr>
      <w:r>
        <w:rPr/>
        <w:t>Penelitian</w:t>
      </w:r>
      <w:r>
        <w:rPr>
          <w:spacing w:val="-4"/>
        </w:rPr>
        <w:t> </w:t>
      </w:r>
      <w:r>
        <w:rPr/>
        <w:t>lain</w:t>
      </w:r>
      <w:r>
        <w:rPr>
          <w:spacing w:val="-9"/>
        </w:rPr>
        <w:t> </w:t>
      </w:r>
      <w:r>
        <w:rPr/>
        <w:t>di</w:t>
      </w:r>
      <w:r>
        <w:rPr>
          <w:spacing w:val="-9"/>
        </w:rPr>
        <w:t> </w:t>
      </w:r>
      <w:r>
        <w:rPr/>
        <w:t>STIE</w:t>
      </w:r>
      <w:r>
        <w:rPr>
          <w:spacing w:val="-7"/>
        </w:rPr>
        <w:t> </w:t>
      </w:r>
      <w:r>
        <w:rPr/>
        <w:t>Bank</w:t>
      </w:r>
      <w:r>
        <w:rPr>
          <w:spacing w:val="-4"/>
        </w:rPr>
        <w:t> </w:t>
      </w:r>
      <w:r>
        <w:rPr/>
        <w:t>BPD</w:t>
      </w:r>
      <w:r>
        <w:rPr>
          <w:spacing w:val="-5"/>
        </w:rPr>
        <w:t> </w:t>
      </w:r>
      <w:r>
        <w:rPr/>
        <w:t>Jateng</w:t>
      </w:r>
      <w:r>
        <w:rPr>
          <w:spacing w:val="-4"/>
        </w:rPr>
        <w:t> </w:t>
      </w:r>
      <w:r>
        <w:rPr/>
        <w:t>pada</w:t>
      </w:r>
      <w:r>
        <w:rPr>
          <w:spacing w:val="-9"/>
        </w:rPr>
        <w:t> </w:t>
      </w:r>
      <w:r>
        <w:rPr/>
        <w:t>tahun</w:t>
      </w:r>
      <w:r>
        <w:rPr>
          <w:spacing w:val="-9"/>
        </w:rPr>
        <w:t> </w:t>
      </w:r>
      <w:r>
        <w:rPr/>
        <w:t>2023</w:t>
      </w:r>
      <w:r>
        <w:rPr>
          <w:spacing w:val="-4"/>
        </w:rPr>
        <w:t> </w:t>
      </w:r>
      <w:r>
        <w:rPr/>
        <w:t>juga mendukung temuan sebelumnya. Hasil</w:t>
      </w:r>
      <w:r>
        <w:rPr>
          <w:spacing w:val="-3"/>
        </w:rPr>
        <w:t> </w:t>
      </w:r>
      <w:r>
        <w:rPr/>
        <w:t>penelitian</w:t>
      </w:r>
      <w:r>
        <w:rPr>
          <w:spacing w:val="-4"/>
        </w:rPr>
        <w:t> </w:t>
      </w:r>
      <w:r>
        <w:rPr/>
        <w:t>tersebut menunjukkan bahwa fasilitas</w:t>
      </w:r>
      <w:r>
        <w:rPr>
          <w:spacing w:val="-2"/>
        </w:rPr>
        <w:t> </w:t>
      </w:r>
      <w:r>
        <w:rPr/>
        <w:t>online trading</w:t>
      </w:r>
      <w:r>
        <w:rPr>
          <w:spacing w:val="-7"/>
        </w:rPr>
        <w:t> </w:t>
      </w:r>
      <w:r>
        <w:rPr/>
        <w:t>dan</w:t>
      </w:r>
      <w:r>
        <w:rPr>
          <w:spacing w:val="-7"/>
        </w:rPr>
        <w:t> </w:t>
      </w:r>
      <w:r>
        <w:rPr/>
        <w:t>modal</w:t>
      </w:r>
      <w:r>
        <w:rPr>
          <w:spacing w:val="-15"/>
        </w:rPr>
        <w:t> </w:t>
      </w:r>
      <w:r>
        <w:rPr/>
        <w:t>awal</w:t>
      </w:r>
      <w:r>
        <w:rPr>
          <w:spacing w:val="-10"/>
        </w:rPr>
        <w:t> </w:t>
      </w:r>
      <w:r>
        <w:rPr/>
        <w:t>investasi</w:t>
      </w:r>
      <w:r>
        <w:rPr>
          <w:spacing w:val="-15"/>
        </w:rPr>
        <w:t> </w:t>
      </w:r>
      <w:r>
        <w:rPr/>
        <w:t>secara</w:t>
      </w:r>
      <w:r>
        <w:rPr>
          <w:spacing w:val="-8"/>
        </w:rPr>
        <w:t> </w:t>
      </w:r>
      <w:r>
        <w:rPr/>
        <w:t>simultan</w:t>
      </w:r>
      <w:r>
        <w:rPr>
          <w:spacing w:val="-7"/>
        </w:rPr>
        <w:t> </w:t>
      </w:r>
      <w:r>
        <w:rPr/>
        <w:t>memberikan</w:t>
      </w:r>
      <w:r>
        <w:rPr>
          <w:spacing w:val="-11"/>
        </w:rPr>
        <w:t> </w:t>
      </w:r>
      <w:r>
        <w:rPr/>
        <w:t>pengaruh</w:t>
      </w:r>
      <w:r>
        <w:rPr>
          <w:spacing w:val="-11"/>
        </w:rPr>
        <w:t> </w:t>
      </w:r>
      <w:r>
        <w:rPr/>
        <w:t>positif</w:t>
      </w:r>
      <w:r>
        <w:rPr>
          <w:spacing w:val="-14"/>
        </w:rPr>
        <w:t> </w:t>
      </w:r>
      <w:r>
        <w:rPr/>
        <w:t>dan signifikan terhadap minat mahasiswa untuk berinvestasi. Dengan menggunakan analisis</w:t>
      </w:r>
      <w:r>
        <w:rPr>
          <w:spacing w:val="-11"/>
        </w:rPr>
        <w:t> </w:t>
      </w:r>
      <w:r>
        <w:rPr/>
        <w:t>regresi</w:t>
      </w:r>
      <w:r>
        <w:rPr>
          <w:spacing w:val="-13"/>
        </w:rPr>
        <w:t> </w:t>
      </w:r>
      <w:r>
        <w:rPr/>
        <w:t>linier</w:t>
      </w:r>
      <w:r>
        <w:rPr>
          <w:spacing w:val="-7"/>
        </w:rPr>
        <w:t> </w:t>
      </w:r>
      <w:r>
        <w:rPr/>
        <w:t>berganda,</w:t>
      </w:r>
      <w:r>
        <w:rPr>
          <w:spacing w:val="-7"/>
        </w:rPr>
        <w:t> </w:t>
      </w:r>
      <w:r>
        <w:rPr/>
        <w:t>penelitian</w:t>
      </w:r>
      <w:r>
        <w:rPr>
          <w:spacing w:val="-9"/>
        </w:rPr>
        <w:t> </w:t>
      </w:r>
      <w:r>
        <w:rPr/>
        <w:t>ini</w:t>
      </w:r>
      <w:r>
        <w:rPr>
          <w:spacing w:val="-13"/>
        </w:rPr>
        <w:t> </w:t>
      </w:r>
      <w:r>
        <w:rPr/>
        <w:t>menemukan</w:t>
      </w:r>
      <w:r>
        <w:rPr>
          <w:spacing w:val="-9"/>
        </w:rPr>
        <w:t> </w:t>
      </w:r>
      <w:r>
        <w:rPr/>
        <w:t>bahwa</w:t>
      </w:r>
      <w:r>
        <w:rPr>
          <w:spacing w:val="-10"/>
        </w:rPr>
        <w:t> </w:t>
      </w:r>
      <w:r>
        <w:rPr/>
        <w:t>kemudahan</w:t>
      </w:r>
      <w:r>
        <w:rPr>
          <w:spacing w:val="-13"/>
        </w:rPr>
        <w:t> </w:t>
      </w:r>
      <w:r>
        <w:rPr/>
        <w:t>akses melalui platform</w:t>
      </w:r>
      <w:r>
        <w:rPr>
          <w:spacing w:val="-1"/>
        </w:rPr>
        <w:t> </w:t>
      </w:r>
      <w:r>
        <w:rPr/>
        <w:t>online trading serta besarnya modal</w:t>
      </w:r>
      <w:r>
        <w:rPr>
          <w:spacing w:val="-1"/>
        </w:rPr>
        <w:t> </w:t>
      </w:r>
      <w:r>
        <w:rPr/>
        <w:t>awal yang relatif terjangkau menjadi</w:t>
      </w:r>
      <w:r>
        <w:rPr>
          <w:spacing w:val="-15"/>
        </w:rPr>
        <w:t> </w:t>
      </w:r>
      <w:r>
        <w:rPr/>
        <w:t>faktor</w:t>
      </w:r>
      <w:r>
        <w:rPr>
          <w:spacing w:val="-15"/>
        </w:rPr>
        <w:t> </w:t>
      </w:r>
      <w:r>
        <w:rPr/>
        <w:t>kunci</w:t>
      </w:r>
      <w:r>
        <w:rPr>
          <w:spacing w:val="-15"/>
        </w:rPr>
        <w:t> </w:t>
      </w:r>
      <w:r>
        <w:rPr/>
        <w:t>yang</w:t>
      </w:r>
      <w:r>
        <w:rPr>
          <w:spacing w:val="-13"/>
        </w:rPr>
        <w:t> </w:t>
      </w:r>
      <w:r>
        <w:rPr/>
        <w:t>mendorong</w:t>
      </w:r>
      <w:r>
        <w:rPr>
          <w:spacing w:val="-8"/>
        </w:rPr>
        <w:t> </w:t>
      </w:r>
      <w:r>
        <w:rPr/>
        <w:t>mahasiswa</w:t>
      </w:r>
      <w:r>
        <w:rPr>
          <w:spacing w:val="-10"/>
        </w:rPr>
        <w:t> </w:t>
      </w:r>
      <w:r>
        <w:rPr/>
        <w:t>untuk</w:t>
      </w:r>
      <w:r>
        <w:rPr>
          <w:spacing w:val="-9"/>
        </w:rPr>
        <w:t> </w:t>
      </w:r>
      <w:r>
        <w:rPr/>
        <w:t>mulai</w:t>
      </w:r>
      <w:r>
        <w:rPr>
          <w:spacing w:val="-15"/>
        </w:rPr>
        <w:t> </w:t>
      </w:r>
      <w:r>
        <w:rPr/>
        <w:t>berinvestasi</w:t>
      </w:r>
      <w:r>
        <w:rPr>
          <w:spacing w:val="-15"/>
        </w:rPr>
        <w:t> </w:t>
      </w:r>
      <w:r>
        <w:rPr/>
        <w:t>di</w:t>
      </w:r>
      <w:r>
        <w:rPr>
          <w:spacing w:val="-15"/>
        </w:rPr>
        <w:t> </w:t>
      </w:r>
      <w:r>
        <w:rPr/>
        <w:t>pasar modal (STIE Bank BPD Jateng, 2023).</w:t>
      </w:r>
    </w:p>
    <w:p>
      <w:pPr>
        <w:pStyle w:val="BodyText"/>
        <w:spacing w:line="480" w:lineRule="auto"/>
        <w:ind w:right="153" w:firstLine="682"/>
      </w:pPr>
      <w:r>
        <w:rPr/>
        <w:t>Namun, tidak semua penelitian memberikan hasil yang sejalan. Studi yang dilakukan</w:t>
      </w:r>
      <w:r>
        <w:rPr>
          <w:spacing w:val="-12"/>
        </w:rPr>
        <w:t> </w:t>
      </w:r>
      <w:r>
        <w:rPr/>
        <w:t>oleh</w:t>
      </w:r>
      <w:r>
        <w:rPr>
          <w:spacing w:val="-7"/>
        </w:rPr>
        <w:t> </w:t>
      </w:r>
      <w:r>
        <w:rPr/>
        <w:t>Wulandari</w:t>
      </w:r>
      <w:r>
        <w:rPr>
          <w:spacing w:val="-15"/>
        </w:rPr>
        <w:t> </w:t>
      </w:r>
      <w:r>
        <w:rPr/>
        <w:t>(2017)</w:t>
      </w:r>
      <w:r>
        <w:rPr>
          <w:spacing w:val="-1"/>
        </w:rPr>
        <w:t> </w:t>
      </w:r>
      <w:r>
        <w:rPr/>
        <w:t>menunjukkan</w:t>
      </w:r>
      <w:r>
        <w:rPr>
          <w:spacing w:val="-7"/>
        </w:rPr>
        <w:t> </w:t>
      </w:r>
      <w:r>
        <w:rPr/>
        <w:t>bahwa</w:t>
      </w:r>
      <w:r>
        <w:rPr>
          <w:spacing w:val="-8"/>
        </w:rPr>
        <w:t> </w:t>
      </w:r>
      <w:r>
        <w:rPr/>
        <w:t>ketersediaan</w:t>
      </w:r>
      <w:r>
        <w:rPr>
          <w:spacing w:val="-7"/>
        </w:rPr>
        <w:t> </w:t>
      </w:r>
      <w:r>
        <w:rPr/>
        <w:t>fasilitas</w:t>
      </w:r>
      <w:r>
        <w:rPr>
          <w:spacing w:val="-8"/>
        </w:rPr>
        <w:t> </w:t>
      </w:r>
      <w:r>
        <w:rPr>
          <w:spacing w:val="-2"/>
        </w:rPr>
        <w:t>online</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39"/>
      </w:pPr>
      <w:r>
        <w:rPr/>
        <w:drawing>
          <wp:anchor distT="0" distB="0" distL="0" distR="0" allowOverlap="1" layoutInCell="1" locked="0" behindDoc="1" simplePos="0" relativeHeight="487400960">
            <wp:simplePos x="0" y="0"/>
            <wp:positionH relativeFrom="page">
              <wp:posOffset>1456944</wp:posOffset>
            </wp:positionH>
            <wp:positionV relativeFrom="paragraph">
              <wp:posOffset>1604532</wp:posOffset>
            </wp:positionV>
            <wp:extent cx="4667249" cy="459104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4667249" cy="4591049"/>
                    </a:xfrm>
                    <a:prstGeom prst="rect">
                      <a:avLst/>
                    </a:prstGeom>
                  </pic:spPr>
                </pic:pic>
              </a:graphicData>
            </a:graphic>
          </wp:anchor>
        </w:drawing>
      </w:r>
      <w:r>
        <w:rPr/>
        <w:t>trading</w:t>
      </w:r>
      <w:r>
        <w:rPr>
          <w:spacing w:val="-2"/>
        </w:rPr>
        <w:t> </w:t>
      </w:r>
      <w:r>
        <w:rPr/>
        <w:t>tidak berpengaruh</w:t>
      </w:r>
      <w:r>
        <w:rPr>
          <w:spacing w:val="-6"/>
        </w:rPr>
        <w:t> </w:t>
      </w:r>
      <w:r>
        <w:rPr/>
        <w:t>signifikan</w:t>
      </w:r>
      <w:r>
        <w:rPr>
          <w:spacing w:val="-6"/>
        </w:rPr>
        <w:t> </w:t>
      </w:r>
      <w:r>
        <w:rPr/>
        <w:t>terhadap minat</w:t>
      </w:r>
      <w:r>
        <w:rPr>
          <w:spacing w:val="-1"/>
        </w:rPr>
        <w:t> </w:t>
      </w:r>
      <w:r>
        <w:rPr/>
        <w:t>mahasiswa</w:t>
      </w:r>
      <w:r>
        <w:rPr>
          <w:spacing w:val="-2"/>
        </w:rPr>
        <w:t> </w:t>
      </w:r>
      <w:r>
        <w:rPr/>
        <w:t>untuk</w:t>
      </w:r>
      <w:r>
        <w:rPr>
          <w:spacing w:val="-2"/>
        </w:rPr>
        <w:t> </w:t>
      </w:r>
      <w:r>
        <w:rPr/>
        <w:t>berinvestasi di Universitas Pendidikan Ganesha. Salah satu kemungkinan penyebabnya adalah mahasiswa belum terbiasa menggunakan fasilitas tersebut atau masih kurang mendapatkan edukasi terkait cara pemanfaatannya (Wulandari, 2017). Dengan demikian, pelatihan serta peningkatan literasi keuangan menjadi penting agar mahasiswa mampu memanfaatkan fasilitas online trading secara maksimal.</w:t>
      </w:r>
    </w:p>
    <w:p>
      <w:pPr>
        <w:pStyle w:val="BodyText"/>
        <w:spacing w:line="480" w:lineRule="auto" w:before="0"/>
        <w:ind w:right="142" w:firstLine="682"/>
      </w:pPr>
      <w:r>
        <w:rPr/>
        <w:t>Fasilitas online trading juga memberikan peluang bagi mahasiswa untuk memulai investasi dengan modal yang relatif kecil. Saat ini, banyak platform trading menyediakan pilihan investasi dengan nominal yang terjangkau, sehingga mahasiswa dengan keterbatasan dana tetap dapat berpartisipasi dalam investasi. Kondisi ini menjadi penting karena sebagian besar mahasiswa belum memiliki penghasilan</w:t>
      </w:r>
      <w:r>
        <w:rPr>
          <w:spacing w:val="-15"/>
        </w:rPr>
        <w:t> </w:t>
      </w:r>
      <w:r>
        <w:rPr/>
        <w:t>tetap</w:t>
      </w:r>
      <w:r>
        <w:rPr>
          <w:spacing w:val="-15"/>
        </w:rPr>
        <w:t> </w:t>
      </w:r>
      <w:r>
        <w:rPr/>
        <w:t>dan</w:t>
      </w:r>
      <w:r>
        <w:rPr>
          <w:spacing w:val="-14"/>
        </w:rPr>
        <w:t> </w:t>
      </w:r>
      <w:r>
        <w:rPr/>
        <w:t>masih</w:t>
      </w:r>
      <w:r>
        <w:rPr>
          <w:spacing w:val="-9"/>
        </w:rPr>
        <w:t> </w:t>
      </w:r>
      <w:r>
        <w:rPr/>
        <w:t>memandang</w:t>
      </w:r>
      <w:r>
        <w:rPr>
          <w:spacing w:val="-5"/>
        </w:rPr>
        <w:t> </w:t>
      </w:r>
      <w:r>
        <w:rPr/>
        <w:t>investasi</w:t>
      </w:r>
      <w:r>
        <w:rPr>
          <w:spacing w:val="-15"/>
        </w:rPr>
        <w:t> </w:t>
      </w:r>
      <w:r>
        <w:rPr/>
        <w:t>sebagai</w:t>
      </w:r>
      <w:r>
        <w:rPr>
          <w:spacing w:val="-15"/>
        </w:rPr>
        <w:t> </w:t>
      </w:r>
      <w:r>
        <w:rPr/>
        <w:t>kegiatan</w:t>
      </w:r>
      <w:r>
        <w:rPr>
          <w:spacing w:val="-9"/>
        </w:rPr>
        <w:t> </w:t>
      </w:r>
      <w:r>
        <w:rPr/>
        <w:t>yang</w:t>
      </w:r>
      <w:r>
        <w:rPr>
          <w:spacing w:val="-9"/>
        </w:rPr>
        <w:t> </w:t>
      </w:r>
      <w:r>
        <w:rPr/>
        <w:t>rumit</w:t>
      </w:r>
      <w:r>
        <w:rPr>
          <w:spacing w:val="-5"/>
        </w:rPr>
        <w:t> </w:t>
      </w:r>
      <w:r>
        <w:rPr/>
        <w:t>dan membutuhkan biaya besar (Dewi &amp; Pradnyani, 2019; Tandio, 2016).</w:t>
      </w:r>
    </w:p>
    <w:p>
      <w:pPr>
        <w:pStyle w:val="BodyText"/>
        <w:spacing w:line="480" w:lineRule="auto" w:before="165"/>
        <w:ind w:right="145" w:firstLine="682"/>
      </w:pPr>
      <w:r>
        <w:rPr/>
        <w:t>Secara</w:t>
      </w:r>
      <w:r>
        <w:rPr>
          <w:spacing w:val="-15"/>
        </w:rPr>
        <w:t> </w:t>
      </w:r>
      <w:r>
        <w:rPr/>
        <w:t>umum,</w:t>
      </w:r>
      <w:r>
        <w:rPr>
          <w:spacing w:val="-13"/>
        </w:rPr>
        <w:t> </w:t>
      </w:r>
      <w:r>
        <w:rPr/>
        <w:t>fasilitas</w:t>
      </w:r>
      <w:r>
        <w:rPr>
          <w:spacing w:val="-15"/>
        </w:rPr>
        <w:t> </w:t>
      </w:r>
      <w:r>
        <w:rPr/>
        <w:t>online</w:t>
      </w:r>
      <w:r>
        <w:rPr>
          <w:spacing w:val="-15"/>
        </w:rPr>
        <w:t> </w:t>
      </w:r>
      <w:r>
        <w:rPr/>
        <w:t>trading</w:t>
      </w:r>
      <w:r>
        <w:rPr>
          <w:spacing w:val="-10"/>
        </w:rPr>
        <w:t> </w:t>
      </w:r>
      <w:r>
        <w:rPr/>
        <w:t>menjadi</w:t>
      </w:r>
      <w:r>
        <w:rPr>
          <w:spacing w:val="-15"/>
        </w:rPr>
        <w:t> </w:t>
      </w:r>
      <w:r>
        <w:rPr/>
        <w:t>salah</w:t>
      </w:r>
      <w:r>
        <w:rPr>
          <w:spacing w:val="-15"/>
        </w:rPr>
        <w:t> </w:t>
      </w:r>
      <w:r>
        <w:rPr/>
        <w:t>satu</w:t>
      </w:r>
      <w:r>
        <w:rPr>
          <w:spacing w:val="-15"/>
        </w:rPr>
        <w:t> </w:t>
      </w:r>
      <w:r>
        <w:rPr/>
        <w:t>faktor</w:t>
      </w:r>
      <w:r>
        <w:rPr>
          <w:spacing w:val="-13"/>
        </w:rPr>
        <w:t> </w:t>
      </w:r>
      <w:r>
        <w:rPr/>
        <w:t>penting</w:t>
      </w:r>
      <w:r>
        <w:rPr>
          <w:spacing w:val="-10"/>
        </w:rPr>
        <w:t> </w:t>
      </w:r>
      <w:r>
        <w:rPr/>
        <w:t>yang dapat meningkatkan minat mahasiswa untuk berinvestasi. Melalui akses yang mudah, fitur yang tersedia secara komprehensif, serta dukungan edukasi yang memadai, fasilitas ini</w:t>
      </w:r>
      <w:r>
        <w:rPr>
          <w:spacing w:val="-9"/>
        </w:rPr>
        <w:t> </w:t>
      </w:r>
      <w:r>
        <w:rPr/>
        <w:t>dapat membantu</w:t>
      </w:r>
      <w:r>
        <w:rPr>
          <w:spacing w:val="-1"/>
        </w:rPr>
        <w:t> </w:t>
      </w:r>
      <w:r>
        <w:rPr/>
        <w:t>mahasiswa</w:t>
      </w:r>
      <w:r>
        <w:rPr>
          <w:spacing w:val="-2"/>
        </w:rPr>
        <w:t> </w:t>
      </w:r>
      <w:r>
        <w:rPr/>
        <w:t>memulai</w:t>
      </w:r>
      <w:r>
        <w:rPr>
          <w:spacing w:val="-5"/>
        </w:rPr>
        <w:t> </w:t>
      </w:r>
      <w:r>
        <w:rPr/>
        <w:t>investasi</w:t>
      </w:r>
      <w:r>
        <w:rPr>
          <w:spacing w:val="-9"/>
        </w:rPr>
        <w:t> </w:t>
      </w:r>
      <w:r>
        <w:rPr/>
        <w:t>dengan</w:t>
      </w:r>
      <w:r>
        <w:rPr>
          <w:spacing w:val="-1"/>
        </w:rPr>
        <w:t> </w:t>
      </w:r>
      <w:r>
        <w:rPr/>
        <w:t>lebih percaya diri</w:t>
      </w:r>
      <w:r>
        <w:rPr>
          <w:spacing w:val="-3"/>
        </w:rPr>
        <w:t> </w:t>
      </w:r>
      <w:r>
        <w:rPr/>
        <w:t>dan terarah. Dengan demikian, pengembangan layanan online trading sebaiknya diikuti dengan program literasi keuangan yang efektif agar manfaatnya dapat dirasakan secara optimal oleh generasi muda.</w:t>
      </w:r>
    </w:p>
    <w:p>
      <w:pPr>
        <w:pStyle w:val="Heading1"/>
        <w:numPr>
          <w:ilvl w:val="2"/>
          <w:numId w:val="1"/>
        </w:numPr>
        <w:tabs>
          <w:tab w:pos="1107" w:val="left" w:leader="none"/>
        </w:tabs>
        <w:spacing w:line="240" w:lineRule="auto" w:before="160" w:after="0"/>
        <w:ind w:left="1107" w:right="0" w:hanging="541"/>
        <w:jc w:val="both"/>
      </w:pPr>
      <w:bookmarkStart w:name="2.1.3 Modal Minimal" w:id="5"/>
      <w:bookmarkEnd w:id="5"/>
      <w:r>
        <w:rPr>
          <w:b w:val="0"/>
        </w:rPr>
      </w:r>
      <w:r>
        <w:rPr/>
        <w:t>Modal</w:t>
      </w:r>
      <w:r>
        <w:rPr>
          <w:spacing w:val="-5"/>
        </w:rPr>
        <w:t> </w:t>
      </w:r>
      <w:r>
        <w:rPr>
          <w:spacing w:val="-2"/>
        </w:rPr>
        <w:t>Minimal</w:t>
      </w:r>
    </w:p>
    <w:p>
      <w:pPr>
        <w:pStyle w:val="BodyText"/>
        <w:spacing w:line="480" w:lineRule="auto" w:before="238"/>
        <w:ind w:right="139" w:firstLine="682"/>
      </w:pPr>
      <w:r>
        <w:rPr/>
        <w:t>Modal</w:t>
      </w:r>
      <w:r>
        <w:rPr>
          <w:spacing w:val="-7"/>
        </w:rPr>
        <w:t> </w:t>
      </w:r>
      <w:r>
        <w:rPr/>
        <w:t>minimal</w:t>
      </w:r>
      <w:r>
        <w:rPr>
          <w:spacing w:val="-2"/>
        </w:rPr>
        <w:t> </w:t>
      </w:r>
      <w:r>
        <w:rPr/>
        <w:t>investasi</w:t>
      </w:r>
      <w:r>
        <w:rPr>
          <w:spacing w:val="-7"/>
        </w:rPr>
        <w:t> </w:t>
      </w:r>
      <w:r>
        <w:rPr/>
        <w:t>merupakan</w:t>
      </w:r>
      <w:r>
        <w:rPr>
          <w:spacing w:val="-2"/>
        </w:rPr>
        <w:t> </w:t>
      </w:r>
      <w:r>
        <w:rPr/>
        <w:t>jumlah</w:t>
      </w:r>
      <w:r>
        <w:rPr>
          <w:spacing w:val="-7"/>
        </w:rPr>
        <w:t> </w:t>
      </w:r>
      <w:r>
        <w:rPr/>
        <w:t>dana</w:t>
      </w:r>
      <w:r>
        <w:rPr>
          <w:spacing w:val="-3"/>
        </w:rPr>
        <w:t> </w:t>
      </w:r>
      <w:r>
        <w:rPr/>
        <w:t>terendah</w:t>
      </w:r>
      <w:r>
        <w:rPr>
          <w:spacing w:val="-2"/>
        </w:rPr>
        <w:t> </w:t>
      </w:r>
      <w:r>
        <w:rPr/>
        <w:t>yang</w:t>
      </w:r>
      <w:r>
        <w:rPr>
          <w:spacing w:val="-2"/>
        </w:rPr>
        <w:t> </w:t>
      </w:r>
      <w:r>
        <w:rPr/>
        <w:t>diperlukan seseorang</w:t>
      </w:r>
      <w:r>
        <w:rPr>
          <w:spacing w:val="-15"/>
        </w:rPr>
        <w:t> </w:t>
      </w:r>
      <w:r>
        <w:rPr/>
        <w:t>untuk</w:t>
      </w:r>
      <w:r>
        <w:rPr>
          <w:spacing w:val="-12"/>
        </w:rPr>
        <w:t> </w:t>
      </w:r>
      <w:r>
        <w:rPr/>
        <w:t>dapat</w:t>
      </w:r>
      <w:r>
        <w:rPr>
          <w:spacing w:val="-7"/>
        </w:rPr>
        <w:t> </w:t>
      </w:r>
      <w:r>
        <w:rPr/>
        <w:t>memulai</w:t>
      </w:r>
      <w:r>
        <w:rPr>
          <w:spacing w:val="-15"/>
        </w:rPr>
        <w:t> </w:t>
      </w:r>
      <w:r>
        <w:rPr/>
        <w:t>aktivitas</w:t>
      </w:r>
      <w:r>
        <w:rPr>
          <w:spacing w:val="-9"/>
        </w:rPr>
        <w:t> </w:t>
      </w:r>
      <w:r>
        <w:rPr/>
        <w:t>investasi</w:t>
      </w:r>
      <w:r>
        <w:rPr>
          <w:spacing w:val="-15"/>
        </w:rPr>
        <w:t> </w:t>
      </w:r>
      <w:r>
        <w:rPr/>
        <w:t>di</w:t>
      </w:r>
      <w:r>
        <w:rPr>
          <w:spacing w:val="-17"/>
        </w:rPr>
        <w:t> </w:t>
      </w:r>
      <w:r>
        <w:rPr/>
        <w:t>pasar</w:t>
      </w:r>
      <w:r>
        <w:rPr>
          <w:spacing w:val="-5"/>
        </w:rPr>
        <w:t> </w:t>
      </w:r>
      <w:r>
        <w:rPr/>
        <w:t>modal.</w:t>
      </w:r>
      <w:r>
        <w:rPr>
          <w:spacing w:val="-10"/>
        </w:rPr>
        <w:t> </w:t>
      </w:r>
      <w:r>
        <w:rPr/>
        <w:t>Bagi</w:t>
      </w:r>
      <w:r>
        <w:rPr>
          <w:spacing w:val="-15"/>
        </w:rPr>
        <w:t> </w:t>
      </w:r>
      <w:r>
        <w:rPr/>
        <w:t>mahasiswa,</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37"/>
      </w:pPr>
      <w:r>
        <w:rPr/>
        <w:t>modal</w:t>
      </w:r>
      <w:r>
        <w:rPr>
          <w:spacing w:val="-6"/>
        </w:rPr>
        <w:t> </w:t>
      </w:r>
      <w:r>
        <w:rPr/>
        <w:t>awal</w:t>
      </w:r>
      <w:r>
        <w:rPr>
          <w:spacing w:val="-1"/>
        </w:rPr>
        <w:t> </w:t>
      </w:r>
      <w:r>
        <w:rPr/>
        <w:t>sering</w:t>
      </w:r>
      <w:r>
        <w:rPr>
          <w:spacing w:val="-1"/>
        </w:rPr>
        <w:t> </w:t>
      </w:r>
      <w:r>
        <w:rPr/>
        <w:t>dipandang</w:t>
      </w:r>
      <w:r>
        <w:rPr>
          <w:spacing w:val="-1"/>
        </w:rPr>
        <w:t> </w:t>
      </w:r>
      <w:r>
        <w:rPr/>
        <w:t>sebagai</w:t>
      </w:r>
      <w:r>
        <w:rPr>
          <w:spacing w:val="-6"/>
        </w:rPr>
        <w:t> </w:t>
      </w:r>
      <w:r>
        <w:rPr/>
        <w:t>salah</w:t>
      </w:r>
      <w:r>
        <w:rPr>
          <w:spacing w:val="-1"/>
        </w:rPr>
        <w:t> </w:t>
      </w:r>
      <w:r>
        <w:rPr/>
        <w:t>satu</w:t>
      </w:r>
      <w:r>
        <w:rPr>
          <w:spacing w:val="-1"/>
        </w:rPr>
        <w:t> </w:t>
      </w:r>
      <w:r>
        <w:rPr/>
        <w:t>faktor penting yang memengaruhi minat berinvestasi. Hal ini disebabkan oleh keterbatasan kemampuan finansial mahasiswa, sehingga besaran modal awal yang terjangkau menjadi faktor yang dapat menarik mereka untuk mencoba berinvestasi (Ung, 2023)</w:t>
      </w:r>
    </w:p>
    <w:p>
      <w:pPr>
        <w:pStyle w:val="BodyText"/>
        <w:spacing w:line="480" w:lineRule="auto" w:before="0"/>
        <w:ind w:right="143" w:firstLine="682"/>
      </w:pPr>
      <w:r>
        <w:rPr/>
        <w:drawing>
          <wp:anchor distT="0" distB="0" distL="0" distR="0" allowOverlap="1" layoutInCell="1" locked="0" behindDoc="1" simplePos="0" relativeHeight="487401472">
            <wp:simplePos x="0" y="0"/>
            <wp:positionH relativeFrom="page">
              <wp:posOffset>1456944</wp:posOffset>
            </wp:positionH>
            <wp:positionV relativeFrom="paragraph">
              <wp:posOffset>201937</wp:posOffset>
            </wp:positionV>
            <wp:extent cx="4667249" cy="459104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5" cstate="print"/>
                    <a:stretch>
                      <a:fillRect/>
                    </a:stretch>
                  </pic:blipFill>
                  <pic:spPr>
                    <a:xfrm>
                      <a:off x="0" y="0"/>
                      <a:ext cx="4667249" cy="4591049"/>
                    </a:xfrm>
                    <a:prstGeom prst="rect">
                      <a:avLst/>
                    </a:prstGeom>
                  </pic:spPr>
                </pic:pic>
              </a:graphicData>
            </a:graphic>
          </wp:anchor>
        </w:drawing>
      </w:r>
      <w:r>
        <w:rPr/>
        <w:t>Penelitian yang dilakukan oleh Wibowo dan Purwohandoko (2019) di Fakultas Ekonomi Universitas Negeri Semarang (UNNES) menunjukkan bahwa modal awal sebesar Rp100.000 masih dianggap wajar dan terjangkau bagi mahasiswa. Hasil penelitian dengan regresi linier berganda tersebut menunjukkan bahwa modal minimal menyumbang pengaruh sebesar 22,94% terhadap minat investasi mahasiswa, sementara pengetahuan investasi berkontribusi sebesar 9%. Secara keseluruhan, kedua variabel tersebut mampu menjelaskan 59,7% minat investasi mahasiswa (UNNES, 2019). Temuan ini memperlihatkan bahwa ketersediaan modal awal yang rendah dapat membantu menghilangkan hambatan finansial mahasiswa dalam memulai investasi.</w:t>
      </w:r>
    </w:p>
    <w:p>
      <w:pPr>
        <w:pStyle w:val="BodyText"/>
        <w:spacing w:line="480" w:lineRule="auto" w:before="2"/>
        <w:ind w:right="144" w:firstLine="682"/>
      </w:pPr>
      <w:r>
        <w:rPr/>
        <w:t>Penelitian</w:t>
      </w:r>
      <w:r>
        <w:rPr>
          <w:spacing w:val="-8"/>
        </w:rPr>
        <w:t> </w:t>
      </w:r>
      <w:r>
        <w:rPr/>
        <w:t>lain</w:t>
      </w:r>
      <w:r>
        <w:rPr>
          <w:spacing w:val="-12"/>
        </w:rPr>
        <w:t> </w:t>
      </w:r>
      <w:r>
        <w:rPr/>
        <w:t>di</w:t>
      </w:r>
      <w:r>
        <w:rPr>
          <w:spacing w:val="-11"/>
        </w:rPr>
        <w:t> </w:t>
      </w:r>
      <w:r>
        <w:rPr/>
        <w:t>Universitas</w:t>
      </w:r>
      <w:r>
        <w:rPr>
          <w:spacing w:val="-9"/>
        </w:rPr>
        <w:t> </w:t>
      </w:r>
      <w:r>
        <w:rPr/>
        <w:t>Batam</w:t>
      </w:r>
      <w:r>
        <w:rPr>
          <w:spacing w:val="-15"/>
        </w:rPr>
        <w:t> </w:t>
      </w:r>
      <w:r>
        <w:rPr/>
        <w:t>(2021)</w:t>
      </w:r>
      <w:r>
        <w:rPr>
          <w:spacing w:val="-2"/>
        </w:rPr>
        <w:t> </w:t>
      </w:r>
      <w:r>
        <w:rPr/>
        <w:t>juga</w:t>
      </w:r>
      <w:r>
        <w:rPr>
          <w:spacing w:val="-4"/>
        </w:rPr>
        <w:t> </w:t>
      </w:r>
      <w:r>
        <w:rPr/>
        <w:t>memperkuat</w:t>
      </w:r>
      <w:r>
        <w:rPr>
          <w:spacing w:val="-3"/>
        </w:rPr>
        <w:t> </w:t>
      </w:r>
      <w:r>
        <w:rPr/>
        <w:t>hasil</w:t>
      </w:r>
      <w:r>
        <w:rPr>
          <w:spacing w:val="-11"/>
        </w:rPr>
        <w:t> </w:t>
      </w:r>
      <w:r>
        <w:rPr/>
        <w:t>tersebut, di</w:t>
      </w:r>
      <w:r>
        <w:rPr>
          <w:spacing w:val="-1"/>
        </w:rPr>
        <w:t> </w:t>
      </w:r>
      <w:r>
        <w:rPr/>
        <w:t>mana variabel modal</w:t>
      </w:r>
      <w:r>
        <w:rPr>
          <w:spacing w:val="-5"/>
        </w:rPr>
        <w:t> </w:t>
      </w:r>
      <w:r>
        <w:rPr/>
        <w:t>awal</w:t>
      </w:r>
      <w:r>
        <w:rPr>
          <w:spacing w:val="-5"/>
        </w:rPr>
        <w:t> </w:t>
      </w:r>
      <w:r>
        <w:rPr/>
        <w:t>dan motivasi</w:t>
      </w:r>
      <w:r>
        <w:rPr>
          <w:spacing w:val="-1"/>
        </w:rPr>
        <w:t> </w:t>
      </w:r>
      <w:r>
        <w:rPr/>
        <w:t>secara simultan berpengaruh</w:t>
      </w:r>
      <w:r>
        <w:rPr>
          <w:spacing w:val="-1"/>
        </w:rPr>
        <w:t> </w:t>
      </w:r>
      <w:r>
        <w:rPr/>
        <w:t>signifikan terhadap minat mahasiswa untuk berinvestasi pada instrumen saham. Dengan modal yang rendah, mahasiswa dapat berpartisipasi di pasar modal tanpa harus menyiapkan</w:t>
      </w:r>
      <w:r>
        <w:rPr>
          <w:spacing w:val="-10"/>
        </w:rPr>
        <w:t> </w:t>
      </w:r>
      <w:r>
        <w:rPr/>
        <w:t>dana</w:t>
      </w:r>
      <w:r>
        <w:rPr>
          <w:spacing w:val="-2"/>
        </w:rPr>
        <w:t> </w:t>
      </w:r>
      <w:r>
        <w:rPr/>
        <w:t>besar,</w:t>
      </w:r>
      <w:r>
        <w:rPr>
          <w:spacing w:val="-3"/>
        </w:rPr>
        <w:t> </w:t>
      </w:r>
      <w:r>
        <w:rPr/>
        <w:t>sehingga</w:t>
      </w:r>
      <w:r>
        <w:rPr>
          <w:spacing w:val="-2"/>
        </w:rPr>
        <w:t> </w:t>
      </w:r>
      <w:r>
        <w:rPr/>
        <w:t>minat mereka</w:t>
      </w:r>
      <w:r>
        <w:rPr>
          <w:spacing w:val="-6"/>
        </w:rPr>
        <w:t> </w:t>
      </w:r>
      <w:r>
        <w:rPr/>
        <w:t>untuk</w:t>
      </w:r>
      <w:r>
        <w:rPr>
          <w:spacing w:val="-5"/>
        </w:rPr>
        <w:t> </w:t>
      </w:r>
      <w:r>
        <w:rPr/>
        <w:t>berinvestasi</w:t>
      </w:r>
      <w:r>
        <w:rPr>
          <w:spacing w:val="-10"/>
        </w:rPr>
        <w:t> </w:t>
      </w:r>
      <w:r>
        <w:rPr/>
        <w:t>meningkat</w:t>
      </w:r>
      <w:r>
        <w:rPr>
          <w:spacing w:val="-1"/>
        </w:rPr>
        <w:t> </w:t>
      </w:r>
      <w:r>
        <w:rPr/>
        <w:t>(UP Batam, 2021)</w:t>
      </w:r>
    </w:p>
    <w:p>
      <w:pPr>
        <w:pStyle w:val="BodyText"/>
        <w:spacing w:line="480" w:lineRule="auto"/>
        <w:ind w:right="143" w:firstLine="682"/>
      </w:pPr>
      <w:r>
        <w:rPr/>
        <w:t>Namun, tidak semua penelitian menunjukkan hasil serupa. Amrul dan Wardah (2020) dalam penelitiannya di Sekolah Tinggi Ilmu Ekonomi AMM Mataram</w:t>
      </w:r>
      <w:r>
        <w:rPr>
          <w:spacing w:val="56"/>
        </w:rPr>
        <w:t> </w:t>
      </w:r>
      <w:r>
        <w:rPr/>
        <w:t>menemukan</w:t>
      </w:r>
      <w:r>
        <w:rPr>
          <w:spacing w:val="63"/>
        </w:rPr>
        <w:t> </w:t>
      </w:r>
      <w:r>
        <w:rPr/>
        <w:t>bahwa</w:t>
      </w:r>
      <w:r>
        <w:rPr>
          <w:spacing w:val="66"/>
        </w:rPr>
        <w:t> </w:t>
      </w:r>
      <w:r>
        <w:rPr/>
        <w:t>modal</w:t>
      </w:r>
      <w:r>
        <w:rPr>
          <w:spacing w:val="64"/>
        </w:rPr>
        <w:t> </w:t>
      </w:r>
      <w:r>
        <w:rPr/>
        <w:t>minimal</w:t>
      </w:r>
      <w:r>
        <w:rPr>
          <w:spacing w:val="59"/>
        </w:rPr>
        <w:t> </w:t>
      </w:r>
      <w:r>
        <w:rPr/>
        <w:t>dan</w:t>
      </w:r>
      <w:r>
        <w:rPr>
          <w:spacing w:val="58"/>
        </w:rPr>
        <w:t> </w:t>
      </w:r>
      <w:r>
        <w:rPr/>
        <w:t>pengetahuan</w:t>
      </w:r>
      <w:r>
        <w:rPr>
          <w:spacing w:val="63"/>
        </w:rPr>
        <w:t> </w:t>
      </w:r>
      <w:r>
        <w:rPr/>
        <w:t>investasi</w:t>
      </w:r>
      <w:r>
        <w:rPr>
          <w:spacing w:val="59"/>
        </w:rPr>
        <w:t> </w:t>
      </w:r>
      <w:r>
        <w:rPr>
          <w:spacing w:val="-2"/>
        </w:rPr>
        <w:t>tidak</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9"/>
      </w:pPr>
      <w:r>
        <w:rPr/>
        <w:t>memiliki pengaruh signifikan terhadap minat investasi mahasiswa. Sebaliknya, motivasi menjadi faktor yang terbukti signifikan. Hal ini menunjukkan bahwa meskipun modal awal terjangkau, mahasiswa tetap membutuhkan dorongan internal sebelum memutuskan untuk berinvestasi (AMM Mataram, 2020).</w:t>
      </w:r>
    </w:p>
    <w:p>
      <w:pPr>
        <w:pStyle w:val="BodyText"/>
        <w:spacing w:line="480" w:lineRule="auto" w:before="0"/>
        <w:ind w:right="141" w:firstLine="682"/>
      </w:pPr>
      <w:r>
        <w:rPr/>
        <w:drawing>
          <wp:anchor distT="0" distB="0" distL="0" distR="0" allowOverlap="1" layoutInCell="1" locked="0" behindDoc="1" simplePos="0" relativeHeight="487401984">
            <wp:simplePos x="0" y="0"/>
            <wp:positionH relativeFrom="page">
              <wp:posOffset>1456944</wp:posOffset>
            </wp:positionH>
            <wp:positionV relativeFrom="paragraph">
              <wp:posOffset>201937</wp:posOffset>
            </wp:positionV>
            <wp:extent cx="4667249" cy="4591049"/>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5" cstate="print"/>
                    <a:stretch>
                      <a:fillRect/>
                    </a:stretch>
                  </pic:blipFill>
                  <pic:spPr>
                    <a:xfrm>
                      <a:off x="0" y="0"/>
                      <a:ext cx="4667249" cy="4591049"/>
                    </a:xfrm>
                    <a:prstGeom prst="rect">
                      <a:avLst/>
                    </a:prstGeom>
                  </pic:spPr>
                </pic:pic>
              </a:graphicData>
            </a:graphic>
          </wp:anchor>
        </w:drawing>
      </w:r>
      <w:r>
        <w:rPr/>
        <w:t>Meski demikian, sebagian besar penelitian lainnya tetap menunjukkan bahwa modal awal merupakan faktor yang berperan penting. Studi di Universitas Palangka Raya (2023) menyatakan bahwa modal minimal berpengaruh signifikan terhadap</w:t>
      </w:r>
      <w:r>
        <w:rPr>
          <w:spacing w:val="-4"/>
        </w:rPr>
        <w:t> </w:t>
      </w:r>
      <w:r>
        <w:rPr/>
        <w:t>minat</w:t>
      </w:r>
      <w:r>
        <w:rPr>
          <w:spacing w:val="-4"/>
        </w:rPr>
        <w:t> </w:t>
      </w:r>
      <w:r>
        <w:rPr/>
        <w:t>mahasiswa</w:t>
      </w:r>
      <w:r>
        <w:rPr>
          <w:spacing w:val="-10"/>
        </w:rPr>
        <w:t> </w:t>
      </w:r>
      <w:r>
        <w:rPr/>
        <w:t>untuk</w:t>
      </w:r>
      <w:r>
        <w:rPr>
          <w:spacing w:val="-9"/>
        </w:rPr>
        <w:t> </w:t>
      </w:r>
      <w:r>
        <w:rPr/>
        <w:t>berinvestasi,</w:t>
      </w:r>
      <w:r>
        <w:rPr>
          <w:spacing w:val="-7"/>
        </w:rPr>
        <w:t> </w:t>
      </w:r>
      <w:r>
        <w:rPr/>
        <w:t>sedangkan</w:t>
      </w:r>
      <w:r>
        <w:rPr>
          <w:spacing w:val="-9"/>
        </w:rPr>
        <w:t> </w:t>
      </w:r>
      <w:r>
        <w:rPr/>
        <w:t>variabel</w:t>
      </w:r>
      <w:r>
        <w:rPr>
          <w:spacing w:val="-12"/>
        </w:rPr>
        <w:t> </w:t>
      </w:r>
      <w:r>
        <w:rPr/>
        <w:t>risiko</w:t>
      </w:r>
      <w:r>
        <w:rPr>
          <w:spacing w:val="-4"/>
        </w:rPr>
        <w:t> </w:t>
      </w:r>
      <w:r>
        <w:rPr/>
        <w:t>dan</w:t>
      </w:r>
      <w:r>
        <w:rPr>
          <w:spacing w:val="-13"/>
        </w:rPr>
        <w:t> </w:t>
      </w:r>
      <w:r>
        <w:rPr/>
        <w:t>return tidak menunjukkan pengaruh yang signifikan. Hal tersebut menunjukkan bahwa besaran modal</w:t>
      </w:r>
      <w:r>
        <w:rPr>
          <w:spacing w:val="-2"/>
        </w:rPr>
        <w:t> </w:t>
      </w:r>
      <w:r>
        <w:rPr/>
        <w:t>awal menjadi</w:t>
      </w:r>
      <w:r>
        <w:rPr>
          <w:spacing w:val="-2"/>
        </w:rPr>
        <w:t> </w:t>
      </w:r>
      <w:r>
        <w:rPr/>
        <w:t>pertimbangan utama mahasiswa sebelum mengambil keputusan investasi (UPR, 2023).</w:t>
      </w:r>
    </w:p>
    <w:p>
      <w:pPr>
        <w:pStyle w:val="BodyText"/>
        <w:spacing w:line="480" w:lineRule="auto" w:before="2"/>
        <w:ind w:right="141" w:firstLine="682"/>
      </w:pPr>
      <w:r>
        <w:rPr/>
        <w:t>Selanjutnya, penelitian di Universitas Muhammadiyah Purwokerto (2019) juga menemukan bahwa modal minimal, pengetahuan investasi, dan motivasi bersama-sama</w:t>
      </w:r>
      <w:r>
        <w:rPr>
          <w:spacing w:val="-6"/>
        </w:rPr>
        <w:t> </w:t>
      </w:r>
      <w:r>
        <w:rPr/>
        <w:t>berpengaruh</w:t>
      </w:r>
      <w:r>
        <w:rPr>
          <w:spacing w:val="-13"/>
        </w:rPr>
        <w:t> </w:t>
      </w:r>
      <w:r>
        <w:rPr/>
        <w:t>positif</w:t>
      </w:r>
      <w:r>
        <w:rPr>
          <w:spacing w:val="-11"/>
        </w:rPr>
        <w:t> </w:t>
      </w:r>
      <w:r>
        <w:rPr/>
        <w:t>terhadap</w:t>
      </w:r>
      <w:r>
        <w:rPr>
          <w:spacing w:val="-4"/>
        </w:rPr>
        <w:t> </w:t>
      </w:r>
      <w:r>
        <w:rPr/>
        <w:t>minat</w:t>
      </w:r>
      <w:r>
        <w:rPr>
          <w:spacing w:val="-4"/>
        </w:rPr>
        <w:t> </w:t>
      </w:r>
      <w:r>
        <w:rPr/>
        <w:t>mahasiswa</w:t>
      </w:r>
      <w:r>
        <w:rPr>
          <w:spacing w:val="-9"/>
        </w:rPr>
        <w:t> </w:t>
      </w:r>
      <w:r>
        <w:rPr/>
        <w:t>untuk</w:t>
      </w:r>
      <w:r>
        <w:rPr>
          <w:spacing w:val="-8"/>
        </w:rPr>
        <w:t> </w:t>
      </w:r>
      <w:r>
        <w:rPr/>
        <w:t>berinvestasi</w:t>
      </w:r>
      <w:r>
        <w:rPr>
          <w:spacing w:val="-15"/>
        </w:rPr>
        <w:t> </w:t>
      </w:r>
      <w:r>
        <w:rPr/>
        <w:t>di pasar modal syariah. Rendahnya modal awal menjadi salah satu alasan yang mendorong mahasiswa mulai mencoba berinvestasi (Latifah, 2019).</w:t>
      </w:r>
    </w:p>
    <w:p>
      <w:pPr>
        <w:pStyle w:val="BodyText"/>
        <w:spacing w:line="480" w:lineRule="auto"/>
        <w:ind w:right="143" w:firstLine="682"/>
      </w:pPr>
      <w:r>
        <w:rPr/>
        <w:t>Temuan serupa juga diperoleh dalam penelitian di Universitas Lampung (2023), yang menunjukkan bahwa modal minimal dan motivasi secara simultan memiliki pengaruh signifikan terhadap minat investasi mahasiswa. Modal awal yang rendah dapat mengurangi hambatan finansial, sehingga mahasiswa menjadi lebih tertarik untuk mulai berinvestasi (Putra, 2023).</w:t>
      </w:r>
    </w:p>
    <w:p>
      <w:pPr>
        <w:pStyle w:val="BodyText"/>
        <w:spacing w:line="480" w:lineRule="auto" w:before="164"/>
        <w:ind w:right="146" w:firstLine="682"/>
      </w:pPr>
      <w:r>
        <w:rPr/>
        <w:t>Secara</w:t>
      </w:r>
      <w:r>
        <w:rPr>
          <w:spacing w:val="-15"/>
        </w:rPr>
        <w:t> </w:t>
      </w:r>
      <w:r>
        <w:rPr/>
        <w:t>keseluruhan,</w:t>
      </w:r>
      <w:r>
        <w:rPr>
          <w:spacing w:val="-11"/>
        </w:rPr>
        <w:t> </w:t>
      </w:r>
      <w:r>
        <w:rPr/>
        <w:t>modal</w:t>
      </w:r>
      <w:r>
        <w:rPr>
          <w:spacing w:val="-15"/>
        </w:rPr>
        <w:t> </w:t>
      </w:r>
      <w:r>
        <w:rPr/>
        <w:t>minimal</w:t>
      </w:r>
      <w:r>
        <w:rPr>
          <w:spacing w:val="-11"/>
        </w:rPr>
        <w:t> </w:t>
      </w:r>
      <w:r>
        <w:rPr/>
        <w:t>investasi</w:t>
      </w:r>
      <w:r>
        <w:rPr>
          <w:spacing w:val="-15"/>
        </w:rPr>
        <w:t> </w:t>
      </w:r>
      <w:r>
        <w:rPr/>
        <w:t>menjadi</w:t>
      </w:r>
      <w:r>
        <w:rPr>
          <w:spacing w:val="-15"/>
        </w:rPr>
        <w:t> </w:t>
      </w:r>
      <w:r>
        <w:rPr/>
        <w:t>salah</w:t>
      </w:r>
      <w:r>
        <w:rPr>
          <w:spacing w:val="-15"/>
        </w:rPr>
        <w:t> </w:t>
      </w:r>
      <w:r>
        <w:rPr/>
        <w:t>satu</w:t>
      </w:r>
      <w:r>
        <w:rPr>
          <w:spacing w:val="-8"/>
        </w:rPr>
        <w:t> </w:t>
      </w:r>
      <w:r>
        <w:rPr/>
        <w:t>faktor</w:t>
      </w:r>
      <w:r>
        <w:rPr>
          <w:spacing w:val="-11"/>
        </w:rPr>
        <w:t> </w:t>
      </w:r>
      <w:r>
        <w:rPr/>
        <w:t>yang berpengaruh</w:t>
      </w:r>
      <w:r>
        <w:rPr>
          <w:spacing w:val="28"/>
        </w:rPr>
        <w:t> </w:t>
      </w:r>
      <w:r>
        <w:rPr/>
        <w:t>dalam</w:t>
      </w:r>
      <w:r>
        <w:rPr>
          <w:spacing w:val="29"/>
        </w:rPr>
        <w:t> </w:t>
      </w:r>
      <w:r>
        <w:rPr/>
        <w:t>meningkatkan</w:t>
      </w:r>
      <w:r>
        <w:rPr>
          <w:spacing w:val="33"/>
        </w:rPr>
        <w:t> </w:t>
      </w:r>
      <w:r>
        <w:rPr/>
        <w:t>minat</w:t>
      </w:r>
      <w:r>
        <w:rPr>
          <w:spacing w:val="37"/>
        </w:rPr>
        <w:t> </w:t>
      </w:r>
      <w:r>
        <w:rPr/>
        <w:t>investasi</w:t>
      </w:r>
      <w:r>
        <w:rPr>
          <w:spacing w:val="29"/>
        </w:rPr>
        <w:t> </w:t>
      </w:r>
      <w:r>
        <w:rPr/>
        <w:t>mahasiswa.</w:t>
      </w:r>
      <w:r>
        <w:rPr>
          <w:spacing w:val="35"/>
        </w:rPr>
        <w:t> </w:t>
      </w:r>
      <w:r>
        <w:rPr/>
        <w:t>Modal</w:t>
      </w:r>
      <w:r>
        <w:rPr>
          <w:spacing w:val="25"/>
        </w:rPr>
        <w:t> </w:t>
      </w:r>
      <w:r>
        <w:rPr/>
        <w:t>awal</w:t>
      </w:r>
      <w:r>
        <w:rPr>
          <w:spacing w:val="34"/>
        </w:rPr>
        <w:t> </w:t>
      </w:r>
      <w:r>
        <w:rPr>
          <w:spacing w:val="-4"/>
        </w:rPr>
        <w:t>yang</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50"/>
      </w:pPr>
      <w:r>
        <w:rPr/>
        <w:drawing>
          <wp:anchor distT="0" distB="0" distL="0" distR="0" allowOverlap="1" layoutInCell="1" locked="0" behindDoc="1" simplePos="0" relativeHeight="487402496">
            <wp:simplePos x="0" y="0"/>
            <wp:positionH relativeFrom="page">
              <wp:posOffset>1456944</wp:posOffset>
            </wp:positionH>
            <wp:positionV relativeFrom="paragraph">
              <wp:posOffset>1604532</wp:posOffset>
            </wp:positionV>
            <wp:extent cx="4667249" cy="4591049"/>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4667249" cy="4591049"/>
                    </a:xfrm>
                    <a:prstGeom prst="rect">
                      <a:avLst/>
                    </a:prstGeom>
                  </pic:spPr>
                </pic:pic>
              </a:graphicData>
            </a:graphic>
          </wp:anchor>
        </w:drawing>
      </w:r>
      <w:r>
        <w:rPr/>
        <w:t>terjangkau dapat menghilangkan hambatan finansial maupun</w:t>
      </w:r>
      <w:r>
        <w:rPr>
          <w:spacing w:val="-1"/>
        </w:rPr>
        <w:t> </w:t>
      </w:r>
      <w:r>
        <w:rPr/>
        <w:t>psikologis, sehingga lebih</w:t>
      </w:r>
      <w:r>
        <w:rPr>
          <w:spacing w:val="-3"/>
        </w:rPr>
        <w:t> </w:t>
      </w:r>
      <w:r>
        <w:rPr/>
        <w:t>banyak mahasiswa yang</w:t>
      </w:r>
      <w:r>
        <w:rPr>
          <w:spacing w:val="-3"/>
        </w:rPr>
        <w:t> </w:t>
      </w:r>
      <w:r>
        <w:rPr/>
        <w:t>terdorong</w:t>
      </w:r>
      <w:r>
        <w:rPr>
          <w:spacing w:val="-3"/>
        </w:rPr>
        <w:t> </w:t>
      </w:r>
      <w:r>
        <w:rPr/>
        <w:t>untuk</w:t>
      </w:r>
      <w:r>
        <w:rPr>
          <w:spacing w:val="-11"/>
        </w:rPr>
        <w:t> </w:t>
      </w:r>
      <w:r>
        <w:rPr/>
        <w:t>terlibat dalam</w:t>
      </w:r>
      <w:r>
        <w:rPr>
          <w:spacing w:val="-11"/>
        </w:rPr>
        <w:t> </w:t>
      </w:r>
      <w:r>
        <w:rPr/>
        <w:t>pasar modal. Namun demikian, modal minimal perlu diimbangi dengan pengetahuan investasi dan motivasi yang memadai agar minat tersebut tidak hanya muncul, tetapi juga berkembang secara optimal.</w:t>
      </w:r>
    </w:p>
    <w:p>
      <w:pPr>
        <w:pStyle w:val="Heading1"/>
        <w:numPr>
          <w:ilvl w:val="2"/>
          <w:numId w:val="1"/>
        </w:numPr>
        <w:tabs>
          <w:tab w:pos="1107" w:val="left" w:leader="none"/>
        </w:tabs>
        <w:spacing w:line="240" w:lineRule="auto" w:before="163" w:after="0"/>
        <w:ind w:left="1107" w:right="0" w:hanging="541"/>
        <w:jc w:val="both"/>
      </w:pPr>
      <w:bookmarkStart w:name="2.1.4 Minat Investasi" w:id="6"/>
      <w:bookmarkEnd w:id="6"/>
      <w:r>
        <w:rPr>
          <w:b w:val="0"/>
        </w:rPr>
      </w:r>
      <w:r>
        <w:rPr/>
        <w:t>Minat</w:t>
      </w:r>
      <w:r>
        <w:rPr>
          <w:spacing w:val="1"/>
        </w:rPr>
        <w:t> </w:t>
      </w:r>
      <w:r>
        <w:rPr>
          <w:spacing w:val="-2"/>
        </w:rPr>
        <w:t>Investasi</w:t>
      </w:r>
    </w:p>
    <w:p>
      <w:pPr>
        <w:pStyle w:val="BodyText"/>
        <w:spacing w:line="480" w:lineRule="auto" w:before="239"/>
        <w:ind w:right="134" w:firstLine="682"/>
      </w:pPr>
      <w:r>
        <w:rPr/>
        <w:t>Minat investasi di kalangan mahasiswa menjadi salah satu topik penting dalam pengembangan pasar modal di Indonesia. Mahasiswa dipandang sebagai generasi</w:t>
      </w:r>
      <w:r>
        <w:rPr>
          <w:spacing w:val="-10"/>
        </w:rPr>
        <w:t> </w:t>
      </w:r>
      <w:r>
        <w:rPr/>
        <w:t>penerus yang memiliki</w:t>
      </w:r>
      <w:r>
        <w:rPr>
          <w:spacing w:val="-10"/>
        </w:rPr>
        <w:t> </w:t>
      </w:r>
      <w:r>
        <w:rPr/>
        <w:t>potensi</w:t>
      </w:r>
      <w:r>
        <w:rPr>
          <w:spacing w:val="-6"/>
        </w:rPr>
        <w:t> </w:t>
      </w:r>
      <w:r>
        <w:rPr/>
        <w:t>besar untuk</w:t>
      </w:r>
      <w:r>
        <w:rPr>
          <w:spacing w:val="-1"/>
        </w:rPr>
        <w:t> </w:t>
      </w:r>
      <w:r>
        <w:rPr/>
        <w:t>menjadi</w:t>
      </w:r>
      <w:r>
        <w:rPr>
          <w:spacing w:val="-1"/>
        </w:rPr>
        <w:t> </w:t>
      </w:r>
      <w:r>
        <w:rPr/>
        <w:t>investor</w:t>
      </w:r>
      <w:r>
        <w:rPr>
          <w:spacing w:val="-4"/>
        </w:rPr>
        <w:t> </w:t>
      </w:r>
      <w:r>
        <w:rPr/>
        <w:t>aktif</w:t>
      </w:r>
      <w:r>
        <w:rPr>
          <w:spacing w:val="-9"/>
        </w:rPr>
        <w:t> </w:t>
      </w:r>
      <w:r>
        <w:rPr/>
        <w:t>di</w:t>
      </w:r>
      <w:r>
        <w:rPr>
          <w:spacing w:val="-6"/>
        </w:rPr>
        <w:t> </w:t>
      </w:r>
      <w:r>
        <w:rPr/>
        <w:t>masa mendatang. Berdasarkan penelitian dalam lima tahun terakhir, terdapat beberapa faktor yang terbukti memengaruhi minat investasi mahasiswa, antara lain pengetahuan investasi, motivasi, literasi</w:t>
      </w:r>
      <w:r>
        <w:rPr>
          <w:spacing w:val="-2"/>
        </w:rPr>
        <w:t> </w:t>
      </w:r>
      <w:r>
        <w:rPr/>
        <w:t>keuangan, perkembangan</w:t>
      </w:r>
      <w:r>
        <w:rPr>
          <w:spacing w:val="-3"/>
        </w:rPr>
        <w:t> </w:t>
      </w:r>
      <w:r>
        <w:rPr/>
        <w:t>teknologi, serta besarnya modal awal.</w:t>
      </w:r>
    </w:p>
    <w:p>
      <w:pPr>
        <w:pStyle w:val="BodyText"/>
        <w:spacing w:line="480" w:lineRule="auto"/>
        <w:ind w:right="137" w:firstLine="682"/>
      </w:pPr>
      <w:r>
        <w:rPr/>
        <w:t>Penelitian Ekasari (2024) di Fakultas Ekonomi Universitas Sulawesi Barat menunjukkan bahwa pengetahuan dan motivasi investasi berpengaruh signifikan terhadap minat mahasiswa dalam berinvestasi di</w:t>
      </w:r>
      <w:r>
        <w:rPr>
          <w:spacing w:val="-2"/>
        </w:rPr>
        <w:t> </w:t>
      </w:r>
      <w:r>
        <w:rPr/>
        <w:t>pasar modal. Berdasarkan survei terhadap 81</w:t>
      </w:r>
      <w:r>
        <w:rPr>
          <w:spacing w:val="-4"/>
        </w:rPr>
        <w:t> </w:t>
      </w:r>
      <w:r>
        <w:rPr/>
        <w:t>responden, mahasiswa dengan</w:t>
      </w:r>
      <w:r>
        <w:rPr>
          <w:spacing w:val="-4"/>
        </w:rPr>
        <w:t> </w:t>
      </w:r>
      <w:r>
        <w:rPr/>
        <w:t>tingkat pengetahuan</w:t>
      </w:r>
      <w:r>
        <w:rPr>
          <w:spacing w:val="-4"/>
        </w:rPr>
        <w:t> </w:t>
      </w:r>
      <w:r>
        <w:rPr/>
        <w:t>dan motivasi</w:t>
      </w:r>
      <w:r>
        <w:rPr>
          <w:spacing w:val="-4"/>
        </w:rPr>
        <w:t> </w:t>
      </w:r>
      <w:r>
        <w:rPr/>
        <w:t>yang baik cenderung memiliki minat investasi yang lebih tinggi. Namun, meskipun terdapat faktor pendukung tersebut, tingkat partisipasi investasi masih tergolong rendah, di mana hanya sekitar 13,29% mahasiswa yang benar-benar aktif berinvestasi. Hal ini menunjukkan perlunya upaya peningkatan edukasi dan motivasi agar minat investasi dapat tumbuh lebih optimal (Ekasari, 2024).</w:t>
      </w:r>
    </w:p>
    <w:p>
      <w:pPr>
        <w:pStyle w:val="BodyText"/>
        <w:spacing w:before="2"/>
        <w:ind w:left="1248"/>
      </w:pPr>
      <w:r>
        <w:rPr/>
        <w:t>Auwidad</w:t>
      </w:r>
      <w:r>
        <w:rPr>
          <w:spacing w:val="-6"/>
        </w:rPr>
        <w:t> </w:t>
      </w:r>
      <w:r>
        <w:rPr/>
        <w:t>&amp;</w:t>
      </w:r>
      <w:r>
        <w:rPr>
          <w:spacing w:val="-7"/>
        </w:rPr>
        <w:t> </w:t>
      </w:r>
      <w:r>
        <w:rPr/>
        <w:t>Sujatmika</w:t>
      </w:r>
      <w:r>
        <w:rPr>
          <w:spacing w:val="-4"/>
        </w:rPr>
        <w:t> </w:t>
      </w:r>
      <w:r>
        <w:rPr/>
        <w:t>(2025)</w:t>
      </w:r>
      <w:r>
        <w:rPr>
          <w:spacing w:val="-6"/>
        </w:rPr>
        <w:t> </w:t>
      </w:r>
      <w:r>
        <w:rPr/>
        <w:t>juga</w:t>
      </w:r>
      <w:r>
        <w:rPr>
          <w:spacing w:val="1"/>
        </w:rPr>
        <w:t> </w:t>
      </w:r>
      <w:r>
        <w:rPr/>
        <w:t>menemukan</w:t>
      </w:r>
      <w:r>
        <w:rPr>
          <w:spacing w:val="-8"/>
        </w:rPr>
        <w:t> </w:t>
      </w:r>
      <w:r>
        <w:rPr/>
        <w:t>bahwa</w:t>
      </w:r>
      <w:r>
        <w:rPr>
          <w:spacing w:val="-5"/>
        </w:rPr>
        <w:t> </w:t>
      </w:r>
      <w:r>
        <w:rPr/>
        <w:t>penggunaan</w:t>
      </w:r>
      <w:r>
        <w:rPr>
          <w:spacing w:val="-7"/>
        </w:rPr>
        <w:t> </w:t>
      </w:r>
      <w:r>
        <w:rPr>
          <w:spacing w:val="-2"/>
        </w:rPr>
        <w:t>aplikasi</w:t>
      </w:r>
    </w:p>
    <w:p>
      <w:pPr>
        <w:pStyle w:val="BodyText"/>
        <w:spacing w:after="0"/>
        <w:sectPr>
          <w:pgSz w:w="11910" w:h="16840"/>
          <w:pgMar w:header="612" w:footer="0" w:top="1920" w:bottom="280" w:left="1700" w:right="1559"/>
        </w:sectPr>
      </w:pPr>
    </w:p>
    <w:p>
      <w:pPr>
        <w:pStyle w:val="BodyText"/>
        <w:spacing w:before="48"/>
        <w:ind w:left="0"/>
        <w:jc w:val="left"/>
      </w:pPr>
    </w:p>
    <w:p>
      <w:pPr>
        <w:pStyle w:val="BodyText"/>
        <w:spacing w:line="480" w:lineRule="auto"/>
        <w:ind w:right="139"/>
      </w:pPr>
      <w:r>
        <w:rPr/>
        <w:drawing>
          <wp:anchor distT="0" distB="0" distL="0" distR="0" allowOverlap="1" layoutInCell="1" locked="0" behindDoc="1" simplePos="0" relativeHeight="487403008">
            <wp:simplePos x="0" y="0"/>
            <wp:positionH relativeFrom="page">
              <wp:posOffset>1456944</wp:posOffset>
            </wp:positionH>
            <wp:positionV relativeFrom="paragraph">
              <wp:posOffset>1604532</wp:posOffset>
            </wp:positionV>
            <wp:extent cx="4667249" cy="4591049"/>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5" cstate="print"/>
                    <a:stretch>
                      <a:fillRect/>
                    </a:stretch>
                  </pic:blipFill>
                  <pic:spPr>
                    <a:xfrm>
                      <a:off x="0" y="0"/>
                      <a:ext cx="4667249" cy="4591049"/>
                    </a:xfrm>
                    <a:prstGeom prst="rect">
                      <a:avLst/>
                    </a:prstGeom>
                  </pic:spPr>
                </pic:pic>
              </a:graphicData>
            </a:graphic>
          </wp:anchor>
        </w:drawing>
      </w:r>
      <w:r>
        <w:rPr/>
        <w:t>investasi</w:t>
      </w:r>
      <w:r>
        <w:rPr>
          <w:spacing w:val="-15"/>
        </w:rPr>
        <w:t> </w:t>
      </w:r>
      <w:r>
        <w:rPr/>
        <w:t>digital</w:t>
      </w:r>
      <w:r>
        <w:rPr>
          <w:spacing w:val="-15"/>
        </w:rPr>
        <w:t> </w:t>
      </w:r>
      <w:r>
        <w:rPr/>
        <w:t>seperti</w:t>
      </w:r>
      <w:r>
        <w:rPr>
          <w:spacing w:val="-15"/>
        </w:rPr>
        <w:t> </w:t>
      </w:r>
      <w:r>
        <w:rPr/>
        <w:t>Bareksa</w:t>
      </w:r>
      <w:r>
        <w:rPr>
          <w:spacing w:val="-10"/>
        </w:rPr>
        <w:t> </w:t>
      </w:r>
      <w:r>
        <w:rPr/>
        <w:t>dan</w:t>
      </w:r>
      <w:r>
        <w:rPr>
          <w:spacing w:val="-12"/>
        </w:rPr>
        <w:t> </w:t>
      </w:r>
      <w:r>
        <w:rPr/>
        <w:t>Bibit memberikan</w:t>
      </w:r>
      <w:r>
        <w:rPr>
          <w:spacing w:val="-12"/>
        </w:rPr>
        <w:t> </w:t>
      </w:r>
      <w:r>
        <w:rPr/>
        <w:t>kemudahan</w:t>
      </w:r>
      <w:r>
        <w:rPr>
          <w:spacing w:val="-12"/>
        </w:rPr>
        <w:t> </w:t>
      </w:r>
      <w:r>
        <w:rPr/>
        <w:t>bagi</w:t>
      </w:r>
      <w:r>
        <w:rPr>
          <w:spacing w:val="-11"/>
        </w:rPr>
        <w:t> </w:t>
      </w:r>
      <w:r>
        <w:rPr/>
        <w:t>mahasiswa dalam mengakses informasi serta melakukan transaksi investasi. Teknologi memungkinkan mahasiswa memperoleh informasi pasar secara real-time dan melakukan transaksi secara fleksibel kapan pun dan di mana pun. Walaupun demikian, hasil penelitian tersebut juga menunjukkan bahwa perkembangan teknologi tidak selalu memberikan pengaruh signifikan terhadap minat investasi, sehingga literasi keuangan tetap menjadi faktor penentu yang penting.</w:t>
      </w:r>
    </w:p>
    <w:p>
      <w:pPr>
        <w:pStyle w:val="BodyText"/>
        <w:spacing w:line="480" w:lineRule="auto"/>
        <w:ind w:right="144" w:firstLine="682"/>
      </w:pPr>
      <w:r>
        <w:rPr/>
        <w:t>Secara umum, minat investasi mahasiswa dipengaruhi oleh kombinasi beberapa faktor seperti pengetahuan investasi, motivasi, literasi keuangan, perkembangan teknologi, ketersediaan modal awal, serta kemampuan dalam menanggung risiko. Oleh karena itu, strategi seperti peningkatan edukasi pasar modal, penyediaan modal awal yang terjangkau, dan pengembangan aplikasi investasi yang mudah digunakan dan terpercaya diharapkan dapat meningkatkan partisipasi mahasiswa dalam pasar modal Indonesia.</w:t>
      </w:r>
    </w:p>
    <w:p>
      <w:pPr>
        <w:pStyle w:val="BodyText"/>
        <w:spacing w:line="480" w:lineRule="auto"/>
        <w:ind w:right="141" w:firstLine="682"/>
      </w:pPr>
      <w:r>
        <w:rPr/>
        <w:t>Hasil penelitian Ekasari (2024) kembali menegaskan bahwa pengetahuan dan motivasi investasi memiliki pengaruh signifikan terhadap minat investasi mahasiswa, meskipun tingkat minat aktual masih rendah dengan hanya 13,29% mahasiswa yang aktif berinvestasi. Hal ini menunjukkan bahwa diperlukan dukungan lebih lanjut selain pengetahuan dan motivasi</w:t>
      </w:r>
      <w:r>
        <w:rPr>
          <w:spacing w:val="-1"/>
        </w:rPr>
        <w:t> </w:t>
      </w:r>
      <w:r>
        <w:rPr/>
        <w:t>agar minat investasi</w:t>
      </w:r>
      <w:r>
        <w:rPr>
          <w:spacing w:val="-1"/>
        </w:rPr>
        <w:t> </w:t>
      </w:r>
      <w:r>
        <w:rPr/>
        <w:t>dapat meningkat secara menyeluruh.</w:t>
      </w:r>
    </w:p>
    <w:p>
      <w:pPr>
        <w:pStyle w:val="BodyText"/>
        <w:spacing w:line="480" w:lineRule="auto"/>
        <w:ind w:right="137" w:firstLine="682"/>
      </w:pPr>
      <w:r>
        <w:rPr/>
        <w:t>Penelitian lain di STIE Semarang (2023) menguatkan temuan tersebut, dengan hasil bahwa modal minimal, persepsi risiko, dan persepsi return secara bersamaan memberikan pengaruh signifikan terhadap minat investasi mahasiswa,</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6"/>
      </w:pPr>
      <w:r>
        <w:rPr/>
        <w:drawing>
          <wp:anchor distT="0" distB="0" distL="0" distR="0" allowOverlap="1" layoutInCell="1" locked="0" behindDoc="1" simplePos="0" relativeHeight="487403520">
            <wp:simplePos x="0" y="0"/>
            <wp:positionH relativeFrom="page">
              <wp:posOffset>1456944</wp:posOffset>
            </wp:positionH>
            <wp:positionV relativeFrom="paragraph">
              <wp:posOffset>1604532</wp:posOffset>
            </wp:positionV>
            <wp:extent cx="4667249" cy="459104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5" cstate="print"/>
                    <a:stretch>
                      <a:fillRect/>
                    </a:stretch>
                  </pic:blipFill>
                  <pic:spPr>
                    <a:xfrm>
                      <a:off x="0" y="0"/>
                      <a:ext cx="4667249" cy="4591049"/>
                    </a:xfrm>
                    <a:prstGeom prst="rect">
                      <a:avLst/>
                    </a:prstGeom>
                  </pic:spPr>
                </pic:pic>
              </a:graphicData>
            </a:graphic>
          </wp:anchor>
        </w:drawing>
      </w:r>
      <w:r>
        <w:rPr/>
        <w:t>dengan kontribusi determinasi sebesar 66,4%. Modal awal yang rendah menjadi aspek penting untuk mendorong mahasiswa yang memiliki</w:t>
      </w:r>
      <w:r>
        <w:rPr>
          <w:spacing w:val="-8"/>
        </w:rPr>
        <w:t> </w:t>
      </w:r>
      <w:r>
        <w:rPr/>
        <w:t>keterbatasan</w:t>
      </w:r>
      <w:r>
        <w:rPr>
          <w:spacing w:val="-4"/>
        </w:rPr>
        <w:t> </w:t>
      </w:r>
      <w:r>
        <w:rPr/>
        <w:t>dana agar dapat mulai berinvestasi. Selain itu, persepsi risiko dan return yang rasional mendorong mahasiswa untuk lebih percaya diri dalam mengambil keputusan </w:t>
      </w:r>
      <w:r>
        <w:rPr>
          <w:spacing w:val="-2"/>
        </w:rPr>
        <w:t>investasi.</w:t>
      </w:r>
    </w:p>
    <w:p>
      <w:pPr>
        <w:pStyle w:val="BodyText"/>
        <w:spacing w:line="480" w:lineRule="auto" w:before="0"/>
        <w:ind w:right="138" w:firstLine="682"/>
      </w:pPr>
      <w:r>
        <w:rPr/>
        <w:t>Lebih lanjut, temuan dalam Jurnal Bisnis Mahasiswa (2024) mencatat bahwa</w:t>
      </w:r>
      <w:r>
        <w:rPr>
          <w:spacing w:val="-15"/>
        </w:rPr>
        <w:t> </w:t>
      </w:r>
      <w:r>
        <w:rPr/>
        <w:t>teknologi</w:t>
      </w:r>
      <w:r>
        <w:rPr>
          <w:spacing w:val="-15"/>
        </w:rPr>
        <w:t> </w:t>
      </w:r>
      <w:r>
        <w:rPr/>
        <w:t>finansial</w:t>
      </w:r>
      <w:r>
        <w:rPr>
          <w:spacing w:val="-15"/>
        </w:rPr>
        <w:t> </w:t>
      </w:r>
      <w:r>
        <w:rPr/>
        <w:t>(fintech)</w:t>
      </w:r>
      <w:r>
        <w:rPr>
          <w:spacing w:val="-15"/>
        </w:rPr>
        <w:t> </w:t>
      </w:r>
      <w:r>
        <w:rPr/>
        <w:t>turut</w:t>
      </w:r>
      <w:r>
        <w:rPr>
          <w:spacing w:val="-15"/>
        </w:rPr>
        <w:t> </w:t>
      </w:r>
      <w:r>
        <w:rPr/>
        <w:t>menjadi</w:t>
      </w:r>
      <w:r>
        <w:rPr>
          <w:spacing w:val="-15"/>
        </w:rPr>
        <w:t> </w:t>
      </w:r>
      <w:r>
        <w:rPr/>
        <w:t>faktor</w:t>
      </w:r>
      <w:r>
        <w:rPr>
          <w:spacing w:val="-15"/>
        </w:rPr>
        <w:t> </w:t>
      </w:r>
      <w:r>
        <w:rPr/>
        <w:t>penting</w:t>
      </w:r>
      <w:r>
        <w:rPr>
          <w:spacing w:val="-10"/>
        </w:rPr>
        <w:t> </w:t>
      </w:r>
      <w:r>
        <w:rPr/>
        <w:t>yang</w:t>
      </w:r>
      <w:r>
        <w:rPr>
          <w:spacing w:val="-10"/>
        </w:rPr>
        <w:t> </w:t>
      </w:r>
      <w:r>
        <w:rPr/>
        <w:t>memengaruhi minat</w:t>
      </w:r>
      <w:r>
        <w:rPr>
          <w:spacing w:val="-2"/>
        </w:rPr>
        <w:t> </w:t>
      </w:r>
      <w:r>
        <w:rPr/>
        <w:t>investasi,</w:t>
      </w:r>
      <w:r>
        <w:rPr>
          <w:spacing w:val="-5"/>
        </w:rPr>
        <w:t> </w:t>
      </w:r>
      <w:r>
        <w:rPr/>
        <w:t>khususnya</w:t>
      </w:r>
      <w:r>
        <w:rPr>
          <w:spacing w:val="-7"/>
        </w:rPr>
        <w:t> </w:t>
      </w:r>
      <w:r>
        <w:rPr/>
        <w:t>pada</w:t>
      </w:r>
      <w:r>
        <w:rPr>
          <w:spacing w:val="-7"/>
        </w:rPr>
        <w:t> </w:t>
      </w:r>
      <w:r>
        <w:rPr/>
        <w:t>generasi</w:t>
      </w:r>
      <w:r>
        <w:rPr>
          <w:spacing w:val="-11"/>
        </w:rPr>
        <w:t> </w:t>
      </w:r>
      <w:r>
        <w:rPr/>
        <w:t>Z.</w:t>
      </w:r>
      <w:r>
        <w:rPr>
          <w:spacing w:val="-5"/>
        </w:rPr>
        <w:t> </w:t>
      </w:r>
      <w:r>
        <w:rPr/>
        <w:t>Kemudahan</w:t>
      </w:r>
      <w:r>
        <w:rPr>
          <w:spacing w:val="-11"/>
        </w:rPr>
        <w:t> </w:t>
      </w:r>
      <w:r>
        <w:rPr/>
        <w:t>akses,</w:t>
      </w:r>
      <w:r>
        <w:rPr>
          <w:spacing w:val="-5"/>
        </w:rPr>
        <w:t> </w:t>
      </w:r>
      <w:r>
        <w:rPr/>
        <w:t>fitur</w:t>
      </w:r>
      <w:r>
        <w:rPr>
          <w:spacing w:val="-1"/>
        </w:rPr>
        <w:t> </w:t>
      </w:r>
      <w:r>
        <w:rPr/>
        <w:t>yang</w:t>
      </w:r>
      <w:r>
        <w:rPr>
          <w:spacing w:val="-3"/>
        </w:rPr>
        <w:t> </w:t>
      </w:r>
      <w:r>
        <w:rPr/>
        <w:t>lengkap, serta keamanan sistem yang ditawarkan platform fintech menjadi alasan utama mahasiswa merasa lebih yakin untuk memulai investasi.</w:t>
      </w:r>
    </w:p>
    <w:p>
      <w:pPr>
        <w:pStyle w:val="Heading1"/>
        <w:numPr>
          <w:ilvl w:val="1"/>
          <w:numId w:val="1"/>
        </w:numPr>
        <w:tabs>
          <w:tab w:pos="930" w:val="left" w:leader="none"/>
        </w:tabs>
        <w:spacing w:line="240" w:lineRule="auto" w:before="2" w:after="0"/>
        <w:ind w:left="930" w:right="0" w:hanging="364"/>
        <w:jc w:val="both"/>
      </w:pPr>
      <w:bookmarkStart w:name="2.2 Penelitian Terdahulu" w:id="7"/>
      <w:bookmarkEnd w:id="7"/>
      <w:r>
        <w:rPr>
          <w:b w:val="0"/>
        </w:rPr>
      </w:r>
      <w:r>
        <w:rPr/>
        <w:t>Penelitian</w:t>
      </w:r>
      <w:r>
        <w:rPr>
          <w:spacing w:val="-13"/>
        </w:rPr>
        <w:t> </w:t>
      </w:r>
      <w:r>
        <w:rPr>
          <w:spacing w:val="-2"/>
        </w:rPr>
        <w:t>Terdahulu</w:t>
      </w:r>
    </w:p>
    <w:p>
      <w:pPr>
        <w:pStyle w:val="BodyText"/>
        <w:spacing w:line="480" w:lineRule="auto" w:before="242"/>
        <w:ind w:right="135" w:firstLine="682"/>
      </w:pPr>
      <w:r>
        <w:rPr/>
        <w:t>Penelitian terdahulu merupakan landasan pengetahuan yang digunakan untuk membangun pola pikir ilmiah yang sistematis, logis, serta didukung oleh bukti empiris. Melalui penelitian sebelumnya, peneliti memperoleh gambaran mengenai</w:t>
      </w:r>
      <w:r>
        <w:rPr>
          <w:spacing w:val="-15"/>
        </w:rPr>
        <w:t> </w:t>
      </w:r>
      <w:r>
        <w:rPr/>
        <w:t>fenomena</w:t>
      </w:r>
      <w:r>
        <w:rPr>
          <w:spacing w:val="-15"/>
        </w:rPr>
        <w:t> </w:t>
      </w:r>
      <w:r>
        <w:rPr/>
        <w:t>yang</w:t>
      </w:r>
      <w:r>
        <w:rPr>
          <w:spacing w:val="-15"/>
        </w:rPr>
        <w:t> </w:t>
      </w:r>
      <w:r>
        <w:rPr/>
        <w:t>diteliti</w:t>
      </w:r>
      <w:r>
        <w:rPr>
          <w:spacing w:val="-15"/>
        </w:rPr>
        <w:t> </w:t>
      </w:r>
      <w:r>
        <w:rPr/>
        <w:t>sehingga</w:t>
      </w:r>
      <w:r>
        <w:rPr>
          <w:spacing w:val="-15"/>
        </w:rPr>
        <w:t> </w:t>
      </w:r>
      <w:r>
        <w:rPr/>
        <w:t>dapat</w:t>
      </w:r>
      <w:r>
        <w:rPr>
          <w:spacing w:val="-15"/>
        </w:rPr>
        <w:t> </w:t>
      </w:r>
      <w:r>
        <w:rPr/>
        <w:t>mengembangkan</w:t>
      </w:r>
      <w:r>
        <w:rPr>
          <w:spacing w:val="-15"/>
        </w:rPr>
        <w:t> </w:t>
      </w:r>
      <w:r>
        <w:rPr/>
        <w:t>kajian</w:t>
      </w:r>
      <w:r>
        <w:rPr>
          <w:spacing w:val="-15"/>
        </w:rPr>
        <w:t> </w:t>
      </w:r>
      <w:r>
        <w:rPr/>
        <w:t>yang</w:t>
      </w:r>
      <w:r>
        <w:rPr>
          <w:spacing w:val="-15"/>
        </w:rPr>
        <w:t> </w:t>
      </w:r>
      <w:r>
        <w:rPr/>
        <w:t>lebih mendalam. Penelitian ini dilakukan dengan mengembangkan studi-studi sebelumnya melalui pengujian pengaruh pengetahuan investasi, fasilitas online trading, dan modal minimal secara simultan terhadap minat investasi mahasiswa UMN Al Washliyah.</w:t>
      </w:r>
    </w:p>
    <w:p>
      <w:pPr>
        <w:pStyle w:val="BodyText"/>
        <w:spacing w:line="480" w:lineRule="auto" w:before="2"/>
        <w:ind w:right="141" w:firstLine="682"/>
      </w:pPr>
      <w:r>
        <w:rPr/>
        <w:t>Adapun tabel berikut menyajikan ringkasan beberapa penelitian terdahulu yang relevan terkait pengaruh pengetahuan investasi, fasilitas online trading, dan modal</w:t>
      </w:r>
      <w:r>
        <w:rPr>
          <w:spacing w:val="-6"/>
        </w:rPr>
        <w:t> </w:t>
      </w:r>
      <w:r>
        <w:rPr/>
        <w:t>minimal</w:t>
      </w:r>
      <w:r>
        <w:rPr>
          <w:spacing w:val="-6"/>
        </w:rPr>
        <w:t> </w:t>
      </w:r>
      <w:r>
        <w:rPr/>
        <w:t>terhadap minat investasi</w:t>
      </w:r>
      <w:r>
        <w:rPr>
          <w:spacing w:val="-6"/>
        </w:rPr>
        <w:t> </w:t>
      </w:r>
      <w:r>
        <w:rPr/>
        <w:t>mahasiswa, disertai</w:t>
      </w:r>
      <w:r>
        <w:rPr>
          <w:spacing w:val="-10"/>
        </w:rPr>
        <w:t> </w:t>
      </w:r>
      <w:r>
        <w:rPr/>
        <w:t>uraian</w:t>
      </w:r>
      <w:r>
        <w:rPr>
          <w:spacing w:val="-6"/>
        </w:rPr>
        <w:t> </w:t>
      </w:r>
      <w:r>
        <w:rPr/>
        <w:t>penjelasannya.</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Heading1"/>
        <w:spacing w:before="1"/>
        <w:ind w:left="425" w:right="10" w:firstLine="0"/>
        <w:jc w:val="center"/>
      </w:pPr>
      <w:bookmarkStart w:name="Tabel 2.1 Penelitian Terdahulu" w:id="8"/>
      <w:bookmarkEnd w:id="8"/>
      <w:r>
        <w:rPr>
          <w:b w:val="0"/>
        </w:rPr>
      </w:r>
      <w:r>
        <w:rPr/>
        <w:t>Tabel</w:t>
      </w:r>
      <w:r>
        <w:rPr>
          <w:spacing w:val="-14"/>
        </w:rPr>
        <w:t> </w:t>
      </w:r>
      <w:r>
        <w:rPr/>
        <w:t>2.1</w:t>
      </w:r>
      <w:r>
        <w:rPr>
          <w:spacing w:val="-10"/>
        </w:rPr>
        <w:t> </w:t>
      </w:r>
      <w:r>
        <w:rPr/>
        <w:t>Penelitian</w:t>
      </w:r>
      <w:r>
        <w:rPr>
          <w:spacing w:val="-12"/>
        </w:rPr>
        <w:t> </w:t>
      </w:r>
      <w:r>
        <w:rPr>
          <w:spacing w:val="-2"/>
        </w:rPr>
        <w:t>Terdahulu</w:t>
      </w:r>
    </w:p>
    <w:p>
      <w:pPr>
        <w:pStyle w:val="BodyText"/>
        <w:spacing w:before="0"/>
        <w:ind w:left="0"/>
        <w:jc w:val="left"/>
        <w:rPr>
          <w:b/>
          <w:sz w:val="18"/>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776"/>
        <w:gridCol w:w="2387"/>
        <w:gridCol w:w="2262"/>
      </w:tblGrid>
      <w:tr>
        <w:trPr>
          <w:trHeight w:val="824" w:hRule="atLeast"/>
        </w:trPr>
        <w:tc>
          <w:tcPr>
            <w:tcW w:w="509" w:type="dxa"/>
            <w:tcBorders>
              <w:bottom w:val="single" w:sz="12" w:space="0" w:color="666666"/>
            </w:tcBorders>
          </w:tcPr>
          <w:p>
            <w:pPr>
              <w:pStyle w:val="TableParagraph"/>
              <w:spacing w:line="273" w:lineRule="exact"/>
              <w:ind w:left="110"/>
              <w:rPr>
                <w:b/>
                <w:sz w:val="24"/>
              </w:rPr>
            </w:pPr>
            <w:r>
              <w:rPr>
                <w:b/>
                <w:spacing w:val="-5"/>
                <w:sz w:val="24"/>
              </w:rPr>
              <w:t>No</w:t>
            </w:r>
          </w:p>
        </w:tc>
        <w:tc>
          <w:tcPr>
            <w:tcW w:w="2776" w:type="dxa"/>
            <w:tcBorders>
              <w:bottom w:val="single" w:sz="12" w:space="0" w:color="666666"/>
            </w:tcBorders>
          </w:tcPr>
          <w:p>
            <w:pPr>
              <w:pStyle w:val="TableParagraph"/>
              <w:spacing w:line="237" w:lineRule="auto"/>
              <w:ind w:left="484" w:right="476" w:firstLine="609"/>
              <w:rPr>
                <w:b/>
                <w:sz w:val="24"/>
              </w:rPr>
            </w:pPr>
            <w:r>
              <w:rPr>
                <w:b/>
                <w:spacing w:val="-2"/>
                <w:sz w:val="24"/>
              </w:rPr>
              <w:t>Judul </w:t>
            </w:r>
            <w:r>
              <w:rPr>
                <w:b/>
                <w:sz w:val="24"/>
              </w:rPr>
              <w:t>Nama</w:t>
            </w:r>
            <w:r>
              <w:rPr>
                <w:b/>
                <w:spacing w:val="-15"/>
                <w:sz w:val="24"/>
              </w:rPr>
              <w:t> </w:t>
            </w:r>
            <w:r>
              <w:rPr>
                <w:b/>
                <w:sz w:val="24"/>
              </w:rPr>
              <w:t>dan</w:t>
            </w:r>
            <w:r>
              <w:rPr>
                <w:b/>
                <w:spacing w:val="-15"/>
                <w:sz w:val="24"/>
              </w:rPr>
              <w:t> </w:t>
            </w:r>
            <w:r>
              <w:rPr>
                <w:b/>
                <w:sz w:val="24"/>
              </w:rPr>
              <w:t>Tahun</w:t>
            </w:r>
          </w:p>
          <w:p>
            <w:pPr>
              <w:pStyle w:val="TableParagraph"/>
              <w:spacing w:line="256" w:lineRule="exact" w:before="2"/>
              <w:ind w:left="1003"/>
              <w:rPr>
                <w:b/>
                <w:sz w:val="24"/>
              </w:rPr>
            </w:pPr>
            <w:r>
              <w:rPr>
                <w:b/>
                <w:spacing w:val="-2"/>
                <w:sz w:val="24"/>
              </w:rPr>
              <w:t>Peneliti</w:t>
            </w:r>
          </w:p>
        </w:tc>
        <w:tc>
          <w:tcPr>
            <w:tcW w:w="2387" w:type="dxa"/>
            <w:tcBorders>
              <w:bottom w:val="single" w:sz="12" w:space="0" w:color="666666"/>
            </w:tcBorders>
          </w:tcPr>
          <w:p>
            <w:pPr>
              <w:pStyle w:val="TableParagraph"/>
              <w:spacing w:line="273" w:lineRule="exact"/>
              <w:ind w:left="205"/>
              <w:rPr>
                <w:b/>
                <w:sz w:val="24"/>
              </w:rPr>
            </w:pPr>
            <w:r>
              <w:rPr>
                <w:b/>
                <w:sz w:val="24"/>
              </w:rPr>
              <w:t>Variabel</w:t>
            </w:r>
            <w:r>
              <w:rPr>
                <w:b/>
                <w:spacing w:val="-4"/>
                <w:sz w:val="24"/>
              </w:rPr>
              <w:t> </w:t>
            </w:r>
            <w:r>
              <w:rPr>
                <w:b/>
                <w:spacing w:val="-2"/>
                <w:sz w:val="24"/>
              </w:rPr>
              <w:t>Penelitian</w:t>
            </w:r>
          </w:p>
        </w:tc>
        <w:tc>
          <w:tcPr>
            <w:tcW w:w="2262" w:type="dxa"/>
            <w:tcBorders>
              <w:bottom w:val="single" w:sz="12" w:space="0" w:color="666666"/>
            </w:tcBorders>
          </w:tcPr>
          <w:p>
            <w:pPr>
              <w:pStyle w:val="TableParagraph"/>
              <w:spacing w:line="273" w:lineRule="exact"/>
              <w:ind w:left="320"/>
              <w:rPr>
                <w:b/>
                <w:sz w:val="24"/>
              </w:rPr>
            </w:pPr>
            <w:r>
              <w:rPr>
                <w:b/>
                <w:sz w:val="24"/>
              </w:rPr>
              <w:t>Hasil</w:t>
            </w:r>
            <w:r>
              <w:rPr>
                <w:b/>
                <w:spacing w:val="-6"/>
                <w:sz w:val="24"/>
              </w:rPr>
              <w:t> </w:t>
            </w:r>
            <w:r>
              <w:rPr>
                <w:b/>
                <w:spacing w:val="-2"/>
                <w:sz w:val="24"/>
              </w:rPr>
              <w:t>Penelitian</w:t>
            </w:r>
          </w:p>
        </w:tc>
      </w:tr>
      <w:tr>
        <w:trPr>
          <w:trHeight w:val="2337" w:hRule="atLeast"/>
        </w:trPr>
        <w:tc>
          <w:tcPr>
            <w:tcW w:w="509" w:type="dxa"/>
            <w:tcBorders>
              <w:top w:val="single" w:sz="12" w:space="0" w:color="666666"/>
            </w:tcBorders>
          </w:tcPr>
          <w:p>
            <w:pPr>
              <w:pStyle w:val="TableParagraph"/>
              <w:spacing w:line="267" w:lineRule="exact"/>
              <w:ind w:left="110"/>
              <w:rPr>
                <w:sz w:val="24"/>
              </w:rPr>
            </w:pPr>
            <w:r>
              <w:rPr>
                <w:spacing w:val="-5"/>
                <w:sz w:val="24"/>
              </w:rPr>
              <w:t>1.</w:t>
            </w:r>
          </w:p>
        </w:tc>
        <w:tc>
          <w:tcPr>
            <w:tcW w:w="2776" w:type="dxa"/>
            <w:tcBorders>
              <w:top w:val="single" w:sz="12" w:space="0" w:color="666666"/>
            </w:tcBorders>
          </w:tcPr>
          <w:p>
            <w:pPr>
              <w:pStyle w:val="TableParagraph"/>
              <w:ind w:left="110" w:right="159"/>
              <w:rPr>
                <w:sz w:val="24"/>
              </w:rPr>
            </w:pPr>
            <w:r>
              <w:rPr>
                <w:sz w:val="24"/>
              </w:rPr>
              <w:t>Pengaruh Pengetahuan Investasi dan Motivasi Investasi Pasar Modal Pada</w:t>
            </w:r>
            <w:r>
              <w:rPr>
                <w:spacing w:val="-15"/>
                <w:sz w:val="24"/>
              </w:rPr>
              <w:t> </w:t>
            </w:r>
            <w:r>
              <w:rPr>
                <w:sz w:val="24"/>
              </w:rPr>
              <w:t>Mahasiswa</w:t>
            </w:r>
            <w:r>
              <w:rPr>
                <w:spacing w:val="-15"/>
                <w:sz w:val="24"/>
              </w:rPr>
              <w:t> </w:t>
            </w:r>
            <w:r>
              <w:rPr>
                <w:sz w:val="24"/>
              </w:rPr>
              <w:t>Fakultas Ekonomi Universitas Sulawesi Barat.</w:t>
            </w:r>
          </w:p>
          <w:p>
            <w:pPr>
              <w:pStyle w:val="TableParagraph"/>
              <w:ind w:left="110"/>
              <w:rPr>
                <w:sz w:val="24"/>
              </w:rPr>
            </w:pPr>
            <w:r>
              <w:rPr>
                <w:sz w:val="24"/>
              </w:rPr>
              <mc:AlternateContent>
                <mc:Choice Requires="wps">
                  <w:drawing>
                    <wp:anchor distT="0" distB="0" distL="0" distR="0" allowOverlap="1" layoutInCell="1" locked="0" behindDoc="1" simplePos="0" relativeHeight="487404032">
                      <wp:simplePos x="0" y="0"/>
                      <wp:positionH relativeFrom="column">
                        <wp:posOffset>-308482</wp:posOffset>
                      </wp:positionH>
                      <wp:positionV relativeFrom="paragraph">
                        <wp:posOffset>-298282</wp:posOffset>
                      </wp:positionV>
                      <wp:extent cx="4667250" cy="459105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4667250" cy="4591050"/>
                                <a:chExt cx="4667250" cy="4591050"/>
                              </a:xfrm>
                            </wpg:grpSpPr>
                            <pic:pic>
                              <pic:nvPicPr>
                                <pic:cNvPr id="15" name="Image 15"/>
                                <pic:cNvPicPr/>
                              </pic:nvPicPr>
                              <pic:blipFill>
                                <a:blip r:embed="rId5" cstate="print"/>
                                <a:stretch>
                                  <a:fillRect/>
                                </a:stretch>
                              </pic:blipFill>
                              <pic:spPr>
                                <a:xfrm>
                                  <a:off x="0" y="0"/>
                                  <a:ext cx="4667249" cy="4591049"/>
                                </a:xfrm>
                                <a:prstGeom prst="rect">
                                  <a:avLst/>
                                </a:prstGeom>
                              </pic:spPr>
                            </pic:pic>
                          </wpg:wgp>
                        </a:graphicData>
                      </a:graphic>
                    </wp:anchor>
                  </w:drawing>
                </mc:Choice>
                <mc:Fallback>
                  <w:pict>
                    <v:group style="position:absolute;margin-left:-24.289999pt;margin-top:-23.486847pt;width:367.5pt;height:361.5pt;mso-position-horizontal-relative:column;mso-position-vertical-relative:paragraph;z-index:-15912448" id="docshapegroup2" coordorigin="-486,-470" coordsize="7350,7230">
                      <v:shape style="position:absolute;left:-486;top:-470;width:7350;height:7230" type="#_x0000_t75" id="docshape3" stroked="false">
                        <v:imagedata r:id="rId5" o:title=""/>
                      </v:shape>
                      <w10:wrap type="none"/>
                    </v:group>
                  </w:pict>
                </mc:Fallback>
              </mc:AlternateContent>
            </w:r>
            <w:r>
              <w:rPr>
                <w:sz w:val="24"/>
              </w:rPr>
              <w:t>Ekasari</w:t>
            </w:r>
            <w:r>
              <w:rPr>
                <w:spacing w:val="-5"/>
                <w:sz w:val="24"/>
              </w:rPr>
              <w:t> </w:t>
            </w:r>
            <w:r>
              <w:rPr>
                <w:spacing w:val="-2"/>
                <w:sz w:val="24"/>
              </w:rPr>
              <w:t>(2024)</w:t>
            </w:r>
          </w:p>
        </w:tc>
        <w:tc>
          <w:tcPr>
            <w:tcW w:w="2387" w:type="dxa"/>
            <w:tcBorders>
              <w:top w:val="single" w:sz="12" w:space="0" w:color="666666"/>
            </w:tcBorders>
          </w:tcPr>
          <w:p>
            <w:pPr>
              <w:pStyle w:val="TableParagraph"/>
              <w:ind w:right="396"/>
              <w:rPr>
                <w:sz w:val="24"/>
              </w:rPr>
            </w:pPr>
            <w:r>
              <w:rPr>
                <w:b/>
                <w:spacing w:val="-2"/>
                <w:sz w:val="24"/>
              </w:rPr>
              <w:t>Variabel Independen: </w:t>
            </w:r>
            <w:r>
              <w:rPr>
                <w:spacing w:val="-2"/>
                <w:sz w:val="24"/>
              </w:rPr>
              <w:t>Pengetahuan </w:t>
            </w:r>
            <w:r>
              <w:rPr>
                <w:sz w:val="24"/>
              </w:rPr>
              <w:t>Investasi,</w:t>
            </w:r>
            <w:r>
              <w:rPr>
                <w:spacing w:val="-15"/>
                <w:sz w:val="24"/>
              </w:rPr>
              <w:t> </w:t>
            </w:r>
            <w:r>
              <w:rPr>
                <w:b/>
                <w:sz w:val="24"/>
              </w:rPr>
              <w:t>Variabel </w:t>
            </w:r>
            <w:r>
              <w:rPr>
                <w:b/>
                <w:spacing w:val="-2"/>
                <w:sz w:val="24"/>
              </w:rPr>
              <w:t>Dependen: </w:t>
            </w:r>
            <w:r>
              <w:rPr>
                <w:sz w:val="24"/>
              </w:rPr>
              <w:t>Motivasi Investasi</w:t>
            </w:r>
          </w:p>
        </w:tc>
        <w:tc>
          <w:tcPr>
            <w:tcW w:w="2262" w:type="dxa"/>
            <w:tcBorders>
              <w:top w:val="single" w:sz="12" w:space="0" w:color="666666"/>
            </w:tcBorders>
          </w:tcPr>
          <w:p>
            <w:pPr>
              <w:pStyle w:val="TableParagraph"/>
              <w:ind w:right="291"/>
              <w:rPr>
                <w:sz w:val="24"/>
              </w:rPr>
            </w:pPr>
            <w:r>
              <w:rPr>
                <w:sz w:val="24"/>
              </w:rPr>
              <w:t>Pengetahuan dan </w:t>
            </w:r>
            <w:r>
              <w:rPr>
                <w:spacing w:val="-2"/>
                <w:sz w:val="24"/>
              </w:rPr>
              <w:t>motivasi berpengaruh </w:t>
            </w:r>
            <w:r>
              <w:rPr>
                <w:sz w:val="24"/>
              </w:rPr>
              <w:t>signifikan</w:t>
            </w:r>
            <w:r>
              <w:rPr>
                <w:spacing w:val="-15"/>
                <w:sz w:val="24"/>
              </w:rPr>
              <w:t> </w:t>
            </w:r>
            <w:r>
              <w:rPr>
                <w:sz w:val="24"/>
              </w:rPr>
              <w:t>terhadap minat investasi; minat investasi masih rendah </w:t>
            </w:r>
            <w:r>
              <w:rPr>
                <w:spacing w:val="-2"/>
                <w:sz w:val="24"/>
              </w:rPr>
              <w:t>(13,29%).</w:t>
            </w:r>
          </w:p>
        </w:tc>
      </w:tr>
      <w:tr>
        <w:trPr>
          <w:trHeight w:val="2371" w:hRule="atLeast"/>
        </w:trPr>
        <w:tc>
          <w:tcPr>
            <w:tcW w:w="509" w:type="dxa"/>
          </w:tcPr>
          <w:p>
            <w:pPr>
              <w:pStyle w:val="TableParagraph"/>
              <w:spacing w:line="268" w:lineRule="exact"/>
              <w:ind w:left="110"/>
              <w:rPr>
                <w:sz w:val="24"/>
              </w:rPr>
            </w:pPr>
            <w:r>
              <w:rPr>
                <w:spacing w:val="-5"/>
                <w:sz w:val="24"/>
              </w:rPr>
              <w:t>2.</w:t>
            </w:r>
          </w:p>
        </w:tc>
        <w:tc>
          <w:tcPr>
            <w:tcW w:w="2776" w:type="dxa"/>
          </w:tcPr>
          <w:p>
            <w:pPr>
              <w:pStyle w:val="TableParagraph"/>
              <w:ind w:left="110"/>
              <w:rPr>
                <w:sz w:val="24"/>
              </w:rPr>
            </w:pPr>
            <w:r>
              <w:rPr>
                <w:sz w:val="24"/>
              </w:rPr>
              <w:t>Pengaruh Motivasi, Pengetahuan</w:t>
            </w:r>
            <w:r>
              <w:rPr>
                <w:spacing w:val="-15"/>
                <w:sz w:val="24"/>
              </w:rPr>
              <w:t> </w:t>
            </w:r>
            <w:r>
              <w:rPr>
                <w:sz w:val="24"/>
              </w:rPr>
              <w:t>Investasi</w:t>
            </w:r>
            <w:r>
              <w:rPr>
                <w:spacing w:val="-15"/>
                <w:sz w:val="24"/>
              </w:rPr>
              <w:t> </w:t>
            </w:r>
            <w:r>
              <w:rPr>
                <w:sz w:val="24"/>
              </w:rPr>
              <w:t>dan Kemajuan Teknologi Terhadap Minat Investasi Wiguna</w:t>
            </w:r>
            <w:r>
              <w:rPr>
                <w:spacing w:val="-15"/>
                <w:sz w:val="24"/>
              </w:rPr>
              <w:t> </w:t>
            </w:r>
            <w:r>
              <w:rPr>
                <w:sz w:val="24"/>
              </w:rPr>
              <w:t>&amp;</w:t>
            </w:r>
            <w:r>
              <w:rPr>
                <w:spacing w:val="-15"/>
                <w:sz w:val="24"/>
              </w:rPr>
              <w:t> </w:t>
            </w:r>
            <w:r>
              <w:rPr>
                <w:sz w:val="24"/>
              </w:rPr>
              <w:t>Indraswarawati </w:t>
            </w:r>
            <w:r>
              <w:rPr>
                <w:spacing w:val="-2"/>
                <w:sz w:val="24"/>
              </w:rPr>
              <w:t>(2024)</w:t>
            </w:r>
          </w:p>
        </w:tc>
        <w:tc>
          <w:tcPr>
            <w:tcW w:w="2387" w:type="dxa"/>
          </w:tcPr>
          <w:p>
            <w:pPr>
              <w:pStyle w:val="TableParagraph"/>
              <w:ind w:right="303"/>
              <w:rPr>
                <w:sz w:val="24"/>
              </w:rPr>
            </w:pPr>
            <w:r>
              <w:rPr>
                <w:b/>
                <w:spacing w:val="-2"/>
                <w:sz w:val="24"/>
              </w:rPr>
              <w:t>Variabel Independen: </w:t>
            </w:r>
            <w:r>
              <w:rPr>
                <w:spacing w:val="-2"/>
                <w:sz w:val="24"/>
              </w:rPr>
              <w:t>Motivasi, Pengetahuan </w:t>
            </w:r>
            <w:r>
              <w:rPr>
                <w:sz w:val="24"/>
              </w:rPr>
              <w:t>Investasi,</w:t>
            </w:r>
            <w:r>
              <w:rPr>
                <w:spacing w:val="-15"/>
                <w:sz w:val="24"/>
              </w:rPr>
              <w:t> </w:t>
            </w:r>
            <w:r>
              <w:rPr>
                <w:sz w:val="24"/>
              </w:rPr>
              <w:t>Kemajuan </w:t>
            </w:r>
            <w:r>
              <w:rPr>
                <w:spacing w:val="-2"/>
                <w:sz w:val="24"/>
              </w:rPr>
              <w:t>Teknologi</w:t>
            </w:r>
          </w:p>
          <w:p>
            <w:pPr>
              <w:pStyle w:val="TableParagraph"/>
              <w:spacing w:line="272" w:lineRule="exact"/>
              <w:rPr>
                <w:b/>
                <w:sz w:val="24"/>
              </w:rPr>
            </w:pPr>
            <w:r>
              <w:rPr>
                <w:b/>
                <w:sz w:val="24"/>
              </w:rPr>
              <w:t>Variabel</w:t>
            </w:r>
            <w:r>
              <w:rPr>
                <w:b/>
                <w:spacing w:val="-6"/>
                <w:sz w:val="24"/>
              </w:rPr>
              <w:t> </w:t>
            </w:r>
            <w:r>
              <w:rPr>
                <w:b/>
                <w:spacing w:val="-2"/>
                <w:sz w:val="24"/>
              </w:rPr>
              <w:t>Dependen:</w:t>
            </w:r>
          </w:p>
          <w:p>
            <w:pPr>
              <w:pStyle w:val="TableParagraph"/>
              <w:spacing w:line="272" w:lineRule="exact"/>
              <w:rPr>
                <w:sz w:val="24"/>
              </w:rPr>
            </w:pPr>
            <w:r>
              <w:rPr>
                <w:sz w:val="24"/>
              </w:rPr>
              <w:t>Minat</w:t>
            </w:r>
            <w:r>
              <w:rPr>
                <w:spacing w:val="3"/>
                <w:sz w:val="24"/>
              </w:rPr>
              <w:t> </w:t>
            </w:r>
            <w:r>
              <w:rPr>
                <w:spacing w:val="-2"/>
                <w:sz w:val="24"/>
              </w:rPr>
              <w:t>Investasi.</w:t>
            </w:r>
          </w:p>
        </w:tc>
        <w:tc>
          <w:tcPr>
            <w:tcW w:w="2262" w:type="dxa"/>
          </w:tcPr>
          <w:p>
            <w:pPr>
              <w:pStyle w:val="TableParagraph"/>
              <w:ind w:right="118"/>
              <w:rPr>
                <w:sz w:val="24"/>
              </w:rPr>
            </w:pPr>
            <w:r>
              <w:rPr>
                <w:sz w:val="24"/>
              </w:rPr>
              <w:t>Motivasi dan </w:t>
            </w:r>
            <w:r>
              <w:rPr>
                <w:spacing w:val="-2"/>
                <w:sz w:val="24"/>
              </w:rPr>
              <w:t>pengetahuan </w:t>
            </w:r>
            <w:r>
              <w:rPr>
                <w:sz w:val="24"/>
              </w:rPr>
              <w:t>berpengaruh positif signifikan;</w:t>
            </w:r>
            <w:r>
              <w:rPr>
                <w:spacing w:val="-15"/>
                <w:sz w:val="24"/>
              </w:rPr>
              <w:t> </w:t>
            </w:r>
            <w:r>
              <w:rPr>
                <w:sz w:val="24"/>
              </w:rPr>
              <w:t>kemajuan teknologi tidak </w:t>
            </w:r>
            <w:r>
              <w:rPr>
                <w:spacing w:val="-2"/>
                <w:sz w:val="24"/>
              </w:rPr>
              <w:t>berpengaruh signifikan.</w:t>
            </w:r>
          </w:p>
        </w:tc>
      </w:tr>
      <w:tr>
        <w:trPr>
          <w:trHeight w:val="5410" w:hRule="atLeast"/>
        </w:trPr>
        <w:tc>
          <w:tcPr>
            <w:tcW w:w="509" w:type="dxa"/>
          </w:tcPr>
          <w:p>
            <w:pPr>
              <w:pStyle w:val="TableParagraph"/>
              <w:spacing w:line="268" w:lineRule="exact"/>
              <w:ind w:left="110"/>
              <w:rPr>
                <w:sz w:val="24"/>
              </w:rPr>
            </w:pPr>
            <w:r>
              <w:rPr>
                <w:spacing w:val="-5"/>
                <w:sz w:val="24"/>
              </w:rPr>
              <w:t>3.</w:t>
            </w:r>
          </w:p>
        </w:tc>
        <w:tc>
          <w:tcPr>
            <w:tcW w:w="2776" w:type="dxa"/>
          </w:tcPr>
          <w:p>
            <w:pPr>
              <w:pStyle w:val="TableParagraph"/>
              <w:ind w:left="110" w:right="159"/>
              <w:rPr>
                <w:sz w:val="24"/>
              </w:rPr>
            </w:pPr>
            <w:r>
              <w:rPr>
                <w:sz w:val="24"/>
              </w:rPr>
              <w:t>Pengaruh Motivasi Investasi, Pengetahuan Dasar Investasi, Modal Minimal,</w:t>
            </w:r>
            <w:r>
              <w:rPr>
                <w:spacing w:val="-15"/>
                <w:sz w:val="24"/>
              </w:rPr>
              <w:t> </w:t>
            </w:r>
            <w:r>
              <w:rPr>
                <w:sz w:val="24"/>
              </w:rPr>
              <w:t>Dan</w:t>
            </w:r>
            <w:r>
              <w:rPr>
                <w:spacing w:val="-15"/>
                <w:sz w:val="24"/>
              </w:rPr>
              <w:t> </w:t>
            </w:r>
            <w:r>
              <w:rPr>
                <w:sz w:val="24"/>
              </w:rPr>
              <w:t>Kemajuan Teknologi Terhadap Minat Investasi </w:t>
            </w:r>
            <w:r>
              <w:rPr>
                <w:spacing w:val="-2"/>
                <w:sz w:val="24"/>
              </w:rPr>
              <w:t>Mahasiswa</w:t>
            </w:r>
          </w:p>
          <w:p>
            <w:pPr>
              <w:pStyle w:val="TableParagraph"/>
              <w:ind w:left="110"/>
              <w:rPr>
                <w:sz w:val="24"/>
              </w:rPr>
            </w:pPr>
            <w:r>
              <w:rPr>
                <w:sz w:val="24"/>
              </w:rPr>
              <w:t>Vina</w:t>
            </w:r>
            <w:r>
              <w:rPr>
                <w:spacing w:val="-5"/>
                <w:sz w:val="24"/>
              </w:rPr>
              <w:t> </w:t>
            </w:r>
            <w:r>
              <w:rPr>
                <w:spacing w:val="-2"/>
                <w:sz w:val="24"/>
              </w:rPr>
              <w:t>(2021)</w:t>
            </w:r>
          </w:p>
        </w:tc>
        <w:tc>
          <w:tcPr>
            <w:tcW w:w="2387" w:type="dxa"/>
          </w:tcPr>
          <w:p>
            <w:pPr>
              <w:pStyle w:val="TableParagraph"/>
              <w:ind w:right="330"/>
              <w:rPr>
                <w:sz w:val="24"/>
              </w:rPr>
            </w:pPr>
            <w:r>
              <w:rPr>
                <w:b/>
                <w:spacing w:val="-2"/>
                <w:sz w:val="24"/>
              </w:rPr>
              <w:t>Variabel Independen: </w:t>
            </w:r>
            <w:r>
              <w:rPr>
                <w:sz w:val="24"/>
              </w:rPr>
              <w:t>Pengaruh Motivasi </w:t>
            </w:r>
            <w:r>
              <w:rPr>
                <w:spacing w:val="-2"/>
                <w:sz w:val="24"/>
              </w:rPr>
              <w:t>Investasi, </w:t>
            </w:r>
            <w:r>
              <w:rPr>
                <w:sz w:val="24"/>
              </w:rPr>
              <w:t>Pengetahuan Dasar Investasi, Modal Minimal,</w:t>
            </w:r>
            <w:r>
              <w:rPr>
                <w:spacing w:val="-15"/>
                <w:sz w:val="24"/>
              </w:rPr>
              <w:t> </w:t>
            </w:r>
            <w:r>
              <w:rPr>
                <w:sz w:val="24"/>
              </w:rPr>
              <w:t>Kemajuan </w:t>
            </w:r>
            <w:r>
              <w:rPr>
                <w:spacing w:val="-2"/>
                <w:sz w:val="24"/>
              </w:rPr>
              <w:t>Teknologi.</w:t>
            </w:r>
          </w:p>
          <w:p>
            <w:pPr>
              <w:pStyle w:val="TableParagraph"/>
              <w:spacing w:line="275" w:lineRule="exact"/>
              <w:rPr>
                <w:b/>
                <w:sz w:val="24"/>
              </w:rPr>
            </w:pPr>
            <w:r>
              <w:rPr>
                <w:b/>
                <w:sz w:val="24"/>
              </w:rPr>
              <w:t>Variabel</w:t>
            </w:r>
            <w:r>
              <w:rPr>
                <w:b/>
                <w:spacing w:val="-6"/>
                <w:sz w:val="24"/>
              </w:rPr>
              <w:t> </w:t>
            </w:r>
            <w:r>
              <w:rPr>
                <w:b/>
                <w:spacing w:val="-2"/>
                <w:sz w:val="24"/>
              </w:rPr>
              <w:t>Dependen:</w:t>
            </w:r>
          </w:p>
          <w:p>
            <w:pPr>
              <w:pStyle w:val="TableParagraph"/>
              <w:spacing w:line="275" w:lineRule="exact"/>
              <w:rPr>
                <w:sz w:val="24"/>
              </w:rPr>
            </w:pPr>
            <w:r>
              <w:rPr>
                <w:sz w:val="24"/>
              </w:rPr>
              <w:t>Minat</w:t>
            </w:r>
            <w:r>
              <w:rPr>
                <w:spacing w:val="3"/>
                <w:sz w:val="24"/>
              </w:rPr>
              <w:t> </w:t>
            </w:r>
            <w:r>
              <w:rPr>
                <w:spacing w:val="-2"/>
                <w:sz w:val="24"/>
              </w:rPr>
              <w:t>Investasi.</w:t>
            </w:r>
          </w:p>
        </w:tc>
        <w:tc>
          <w:tcPr>
            <w:tcW w:w="2262" w:type="dxa"/>
          </w:tcPr>
          <w:p>
            <w:pPr>
              <w:pStyle w:val="TableParagraph"/>
              <w:ind w:right="133"/>
              <w:rPr>
                <w:sz w:val="24"/>
              </w:rPr>
            </w:pPr>
            <w:r>
              <w:rPr>
                <w:sz w:val="24"/>
              </w:rPr>
              <w:t>Hasil penelitian menunjukkan</w:t>
            </w:r>
            <w:r>
              <w:rPr>
                <w:spacing w:val="-15"/>
                <w:sz w:val="24"/>
              </w:rPr>
              <w:t> </w:t>
            </w:r>
            <w:r>
              <w:rPr>
                <w:sz w:val="24"/>
              </w:rPr>
              <w:t>bahwa motivasi investasi berpengaruh positif terhadap minat investasi</w:t>
            </w:r>
            <w:r>
              <w:rPr>
                <w:spacing w:val="-15"/>
                <w:sz w:val="24"/>
              </w:rPr>
              <w:t> </w:t>
            </w:r>
            <w:r>
              <w:rPr>
                <w:sz w:val="24"/>
              </w:rPr>
              <w:t>mahasiswa, pengetahuan dasar investasi tidak </w:t>
            </w:r>
            <w:r>
              <w:rPr>
                <w:spacing w:val="-2"/>
                <w:sz w:val="24"/>
              </w:rPr>
              <w:t>berpengaruh </w:t>
            </w:r>
            <w:r>
              <w:rPr>
                <w:sz w:val="24"/>
              </w:rPr>
              <w:t>terhadap minat investasi</w:t>
            </w:r>
            <w:r>
              <w:rPr>
                <w:spacing w:val="-15"/>
                <w:sz w:val="24"/>
              </w:rPr>
              <w:t> </w:t>
            </w:r>
            <w:r>
              <w:rPr>
                <w:sz w:val="24"/>
              </w:rPr>
              <w:t>mahasiswa, modal minimal berpengaruh positif terhadap minat investasi</w:t>
            </w:r>
            <w:r>
              <w:rPr>
                <w:spacing w:val="-15"/>
                <w:sz w:val="24"/>
              </w:rPr>
              <w:t> </w:t>
            </w:r>
            <w:r>
              <w:rPr>
                <w:sz w:val="24"/>
              </w:rPr>
              <w:t>mahasiswa, kemajuan teknologi berpengaruh positif terhadap minat investasi</w:t>
            </w:r>
            <w:r>
              <w:rPr>
                <w:spacing w:val="-15"/>
                <w:sz w:val="24"/>
              </w:rPr>
              <w:t> </w:t>
            </w:r>
            <w:r>
              <w:rPr>
                <w:sz w:val="24"/>
              </w:rPr>
              <w:t>mahasiswa.</w:t>
            </w:r>
          </w:p>
        </w:tc>
      </w:tr>
      <w:tr>
        <w:trPr>
          <w:trHeight w:val="1104" w:hRule="atLeast"/>
        </w:trPr>
        <w:tc>
          <w:tcPr>
            <w:tcW w:w="509" w:type="dxa"/>
          </w:tcPr>
          <w:p>
            <w:pPr>
              <w:pStyle w:val="TableParagraph"/>
              <w:spacing w:line="268" w:lineRule="exact"/>
              <w:ind w:left="110"/>
              <w:rPr>
                <w:sz w:val="24"/>
              </w:rPr>
            </w:pPr>
            <w:r>
              <w:rPr>
                <w:spacing w:val="-5"/>
                <w:sz w:val="24"/>
              </w:rPr>
              <w:t>4.</w:t>
            </w:r>
          </w:p>
        </w:tc>
        <w:tc>
          <w:tcPr>
            <w:tcW w:w="2776" w:type="dxa"/>
          </w:tcPr>
          <w:p>
            <w:pPr>
              <w:pStyle w:val="TableParagraph"/>
              <w:ind w:left="110" w:right="159"/>
              <w:rPr>
                <w:sz w:val="24"/>
              </w:rPr>
            </w:pPr>
            <w:r>
              <w:rPr>
                <w:sz w:val="24"/>
              </w:rPr>
              <w:t>Fasilitas</w:t>
            </w:r>
            <w:r>
              <w:rPr>
                <w:spacing w:val="-15"/>
                <w:sz w:val="24"/>
              </w:rPr>
              <w:t> </w:t>
            </w:r>
            <w:r>
              <w:rPr>
                <w:sz w:val="24"/>
              </w:rPr>
              <w:t>online</w:t>
            </w:r>
            <w:r>
              <w:rPr>
                <w:spacing w:val="-15"/>
                <w:sz w:val="24"/>
              </w:rPr>
              <w:t> </w:t>
            </w:r>
            <w:r>
              <w:rPr>
                <w:sz w:val="24"/>
              </w:rPr>
              <w:t>trading dan modal minimal investasi pada minat</w:t>
            </w:r>
          </w:p>
          <w:p>
            <w:pPr>
              <w:pStyle w:val="TableParagraph"/>
              <w:spacing w:line="264" w:lineRule="exact"/>
              <w:ind w:left="110"/>
              <w:rPr>
                <w:sz w:val="24"/>
              </w:rPr>
            </w:pPr>
            <w:r>
              <w:rPr>
                <w:spacing w:val="-2"/>
                <w:sz w:val="24"/>
              </w:rPr>
              <w:t>mahasiswa.</w:t>
            </w:r>
          </w:p>
        </w:tc>
        <w:tc>
          <w:tcPr>
            <w:tcW w:w="2387" w:type="dxa"/>
          </w:tcPr>
          <w:p>
            <w:pPr>
              <w:pStyle w:val="TableParagraph"/>
              <w:spacing w:line="237" w:lineRule="auto"/>
              <w:ind w:right="109"/>
              <w:rPr>
                <w:sz w:val="24"/>
              </w:rPr>
            </w:pPr>
            <w:r>
              <w:rPr>
                <w:b/>
                <w:spacing w:val="-2"/>
                <w:sz w:val="24"/>
              </w:rPr>
              <w:t>Variabel </w:t>
            </w:r>
            <w:r>
              <w:rPr>
                <w:b/>
                <w:sz w:val="24"/>
              </w:rPr>
              <w:t>Independen:</w:t>
            </w:r>
            <w:r>
              <w:rPr>
                <w:b/>
                <w:spacing w:val="-15"/>
                <w:sz w:val="24"/>
              </w:rPr>
              <w:t> </w:t>
            </w:r>
            <w:r>
              <w:rPr>
                <w:sz w:val="24"/>
              </w:rPr>
              <w:t>Fasilitas online trading dan</w:t>
            </w:r>
          </w:p>
          <w:p>
            <w:pPr>
              <w:pStyle w:val="TableParagraph"/>
              <w:spacing w:line="266" w:lineRule="exact"/>
              <w:rPr>
                <w:sz w:val="24"/>
              </w:rPr>
            </w:pPr>
            <w:r>
              <w:rPr>
                <w:sz w:val="24"/>
              </w:rPr>
              <w:t>modal</w:t>
            </w:r>
            <w:r>
              <w:rPr>
                <w:spacing w:val="-6"/>
                <w:sz w:val="24"/>
              </w:rPr>
              <w:t> </w:t>
            </w:r>
            <w:r>
              <w:rPr>
                <w:spacing w:val="-2"/>
                <w:sz w:val="24"/>
              </w:rPr>
              <w:t>minimal</w:t>
            </w:r>
          </w:p>
        </w:tc>
        <w:tc>
          <w:tcPr>
            <w:tcW w:w="2262" w:type="dxa"/>
          </w:tcPr>
          <w:p>
            <w:pPr>
              <w:pStyle w:val="TableParagraph"/>
              <w:rPr>
                <w:sz w:val="24"/>
              </w:rPr>
            </w:pPr>
            <w:r>
              <w:rPr>
                <w:sz w:val="24"/>
              </w:rPr>
              <w:t>Didapatkan hasil bahwa</w:t>
            </w:r>
            <w:r>
              <w:rPr>
                <w:spacing w:val="-15"/>
                <w:sz w:val="24"/>
              </w:rPr>
              <w:t> </w:t>
            </w:r>
            <w:r>
              <w:rPr>
                <w:sz w:val="24"/>
              </w:rPr>
              <w:t>baik</w:t>
            </w:r>
            <w:r>
              <w:rPr>
                <w:spacing w:val="-15"/>
                <w:sz w:val="24"/>
              </w:rPr>
              <w:t> </w:t>
            </w:r>
            <w:r>
              <w:rPr>
                <w:sz w:val="24"/>
              </w:rPr>
              <w:t>variable fasilitas online</w:t>
            </w:r>
          </w:p>
          <w:p>
            <w:pPr>
              <w:pStyle w:val="TableParagraph"/>
              <w:spacing w:line="264" w:lineRule="exact"/>
              <w:rPr>
                <w:sz w:val="24"/>
              </w:rPr>
            </w:pPr>
            <w:r>
              <w:rPr>
                <w:sz w:val="24"/>
              </w:rPr>
              <w:t>trading</w:t>
            </w:r>
            <w:r>
              <w:rPr>
                <w:spacing w:val="-3"/>
                <w:sz w:val="24"/>
              </w:rPr>
              <w:t> </w:t>
            </w:r>
            <w:r>
              <w:rPr>
                <w:sz w:val="24"/>
              </w:rPr>
              <w:t>dan </w:t>
            </w:r>
            <w:r>
              <w:rPr>
                <w:spacing w:val="-4"/>
                <w:sz w:val="24"/>
              </w:rPr>
              <w:t>modal</w:t>
            </w:r>
          </w:p>
        </w:tc>
      </w:tr>
    </w:tbl>
    <w:p>
      <w:pPr>
        <w:pStyle w:val="TableParagraph"/>
        <w:spacing w:after="0" w:line="264" w:lineRule="exact"/>
        <w:rPr>
          <w:sz w:val="24"/>
        </w:rPr>
        <w:sectPr>
          <w:pgSz w:w="11910" w:h="16840"/>
          <w:pgMar w:header="612" w:footer="0" w:top="1920" w:bottom="280" w:left="1700" w:right="1559"/>
        </w:sectPr>
      </w:pPr>
    </w:p>
    <w:p>
      <w:pPr>
        <w:pStyle w:val="BodyText"/>
        <w:spacing w:before="97"/>
        <w:ind w:left="0"/>
        <w:jc w:val="left"/>
        <w:rPr>
          <w:b/>
          <w:sz w:val="20"/>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776"/>
        <w:gridCol w:w="2387"/>
        <w:gridCol w:w="2262"/>
      </w:tblGrid>
      <w:tr>
        <w:trPr>
          <w:trHeight w:val="1108" w:hRule="atLeast"/>
        </w:trPr>
        <w:tc>
          <w:tcPr>
            <w:tcW w:w="509" w:type="dxa"/>
          </w:tcPr>
          <w:p>
            <w:pPr>
              <w:pStyle w:val="TableParagraph"/>
              <w:ind w:left="0"/>
              <w:rPr>
                <w:sz w:val="24"/>
              </w:rPr>
            </w:pPr>
          </w:p>
        </w:tc>
        <w:tc>
          <w:tcPr>
            <w:tcW w:w="2776" w:type="dxa"/>
          </w:tcPr>
          <w:p>
            <w:pPr>
              <w:pStyle w:val="TableParagraph"/>
              <w:spacing w:line="273" w:lineRule="exact"/>
              <w:ind w:left="110"/>
              <w:rPr>
                <w:sz w:val="24"/>
              </w:rPr>
            </w:pPr>
            <w:r>
              <w:rPr>
                <w:sz w:val="24"/>
              </w:rPr>
              <w:t>(Dewi,</w:t>
            </w:r>
            <w:r>
              <w:rPr>
                <w:spacing w:val="-1"/>
                <w:sz w:val="24"/>
              </w:rPr>
              <w:t> </w:t>
            </w:r>
            <w:r>
              <w:rPr>
                <w:spacing w:val="-2"/>
                <w:sz w:val="24"/>
              </w:rPr>
              <w:t>2019)</w:t>
            </w:r>
          </w:p>
        </w:tc>
        <w:tc>
          <w:tcPr>
            <w:tcW w:w="2387" w:type="dxa"/>
          </w:tcPr>
          <w:p>
            <w:pPr>
              <w:pStyle w:val="TableParagraph"/>
              <w:spacing w:line="272" w:lineRule="exact" w:before="2"/>
              <w:rPr>
                <w:b/>
                <w:sz w:val="24"/>
              </w:rPr>
            </w:pPr>
            <w:r>
              <w:rPr>
                <w:b/>
                <w:spacing w:val="-4"/>
                <w:sz w:val="24"/>
              </w:rPr>
              <w:t>Variabel</w:t>
            </w:r>
            <w:r>
              <w:rPr>
                <w:b/>
                <w:sz w:val="24"/>
              </w:rPr>
              <w:t> </w:t>
            </w:r>
            <w:r>
              <w:rPr>
                <w:b/>
                <w:spacing w:val="-2"/>
                <w:sz w:val="24"/>
              </w:rPr>
              <w:t>Dependen:</w:t>
            </w:r>
          </w:p>
          <w:p>
            <w:pPr>
              <w:pStyle w:val="TableParagraph"/>
              <w:spacing w:line="272" w:lineRule="exact"/>
              <w:rPr>
                <w:sz w:val="24"/>
              </w:rPr>
            </w:pPr>
            <w:r>
              <w:rPr>
                <w:sz w:val="24"/>
              </w:rPr>
              <w:t>Minat</w:t>
            </w:r>
            <w:r>
              <w:rPr>
                <w:spacing w:val="3"/>
                <w:sz w:val="24"/>
              </w:rPr>
              <w:t> </w:t>
            </w:r>
            <w:r>
              <w:rPr>
                <w:spacing w:val="-2"/>
                <w:sz w:val="24"/>
              </w:rPr>
              <w:t>investasi</w:t>
            </w:r>
          </w:p>
        </w:tc>
        <w:tc>
          <w:tcPr>
            <w:tcW w:w="2262" w:type="dxa"/>
          </w:tcPr>
          <w:p>
            <w:pPr>
              <w:pStyle w:val="TableParagraph"/>
              <w:rPr>
                <w:sz w:val="24"/>
              </w:rPr>
            </w:pPr>
            <w:r>
              <w:rPr>
                <w:sz w:val="24"/>
              </w:rPr>
              <w:t>minimal investasi memiliki pengaruh pada</w:t>
            </w:r>
            <w:r>
              <w:rPr>
                <w:spacing w:val="-15"/>
                <w:sz w:val="24"/>
              </w:rPr>
              <w:t> </w:t>
            </w:r>
            <w:r>
              <w:rPr>
                <w:sz w:val="24"/>
              </w:rPr>
              <w:t>minat</w:t>
            </w:r>
            <w:r>
              <w:rPr>
                <w:spacing w:val="-15"/>
                <w:sz w:val="24"/>
              </w:rPr>
              <w:t> </w:t>
            </w:r>
            <w:r>
              <w:rPr>
                <w:sz w:val="24"/>
              </w:rPr>
              <w:t>investasi</w:t>
            </w:r>
          </w:p>
          <w:p>
            <w:pPr>
              <w:pStyle w:val="TableParagraph"/>
              <w:spacing w:line="264" w:lineRule="exact"/>
              <w:rPr>
                <w:sz w:val="24"/>
              </w:rPr>
            </w:pPr>
            <w:r>
              <w:rPr>
                <w:spacing w:val="-2"/>
                <w:sz w:val="24"/>
              </w:rPr>
              <w:t>mahasiswa.</w:t>
            </w:r>
          </w:p>
        </w:tc>
      </w:tr>
      <w:tr>
        <w:trPr>
          <w:trHeight w:val="3528" w:hRule="atLeast"/>
        </w:trPr>
        <w:tc>
          <w:tcPr>
            <w:tcW w:w="509" w:type="dxa"/>
          </w:tcPr>
          <w:p>
            <w:pPr>
              <w:pStyle w:val="TableParagraph"/>
              <w:spacing w:line="268" w:lineRule="exact"/>
              <w:ind w:left="0" w:right="96"/>
              <w:jc w:val="center"/>
              <w:rPr>
                <w:sz w:val="24"/>
              </w:rPr>
            </w:pPr>
            <w:r>
              <w:rPr>
                <w:spacing w:val="-5"/>
                <w:sz w:val="24"/>
              </w:rPr>
              <w:t>5.</w:t>
            </w:r>
          </w:p>
        </w:tc>
        <w:tc>
          <w:tcPr>
            <w:tcW w:w="2776" w:type="dxa"/>
          </w:tcPr>
          <w:p>
            <w:pPr>
              <w:pStyle w:val="TableParagraph"/>
              <w:ind w:left="110" w:right="124"/>
              <w:rPr>
                <w:sz w:val="24"/>
              </w:rPr>
            </w:pPr>
            <w:r>
              <w:rPr>
                <w:sz w:val="24"/>
              </w:rPr>
              <w:t>Pengaruh</w:t>
            </w:r>
            <w:r>
              <w:rPr>
                <w:spacing w:val="-15"/>
                <w:sz w:val="24"/>
              </w:rPr>
              <w:t> </w:t>
            </w:r>
            <w:r>
              <w:rPr>
                <w:sz w:val="24"/>
              </w:rPr>
              <w:t>Modal</w:t>
            </w:r>
            <w:r>
              <w:rPr>
                <w:spacing w:val="-15"/>
                <w:sz w:val="24"/>
              </w:rPr>
              <w:t> </w:t>
            </w:r>
            <w:r>
              <w:rPr>
                <w:sz w:val="24"/>
              </w:rPr>
              <w:t>Minimal, Pengetahuan Investasi, dan Motivasi Terhadap Minat Berinvestasi Mahasiswa Di Pasar </w:t>
            </w:r>
            <w:r>
              <w:rPr>
                <w:spacing w:val="-2"/>
                <w:sz w:val="24"/>
              </w:rPr>
              <w:t>Modal.</w:t>
            </w:r>
          </w:p>
          <w:p>
            <w:pPr>
              <w:pStyle w:val="TableParagraph"/>
              <w:ind w:left="110"/>
              <w:rPr>
                <w:sz w:val="24"/>
              </w:rPr>
            </w:pPr>
            <w:r>
              <w:rPr>
                <w:sz w:val="24"/>
              </w:rPr>
              <mc:AlternateContent>
                <mc:Choice Requires="wps">
                  <w:drawing>
                    <wp:anchor distT="0" distB="0" distL="0" distR="0" allowOverlap="1" layoutInCell="1" locked="0" behindDoc="1" simplePos="0" relativeHeight="487404544">
                      <wp:simplePos x="0" y="0"/>
                      <wp:positionH relativeFrom="column">
                        <wp:posOffset>-308482</wp:posOffset>
                      </wp:positionH>
                      <wp:positionV relativeFrom="paragraph">
                        <wp:posOffset>-161123</wp:posOffset>
                      </wp:positionV>
                      <wp:extent cx="4667250" cy="4591050"/>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4667250" cy="4591050"/>
                                <a:chExt cx="4667250" cy="4591050"/>
                              </a:xfrm>
                            </wpg:grpSpPr>
                            <pic:pic>
                              <pic:nvPicPr>
                                <pic:cNvPr id="17" name="Image 17"/>
                                <pic:cNvPicPr/>
                              </pic:nvPicPr>
                              <pic:blipFill>
                                <a:blip r:embed="rId5" cstate="print"/>
                                <a:stretch>
                                  <a:fillRect/>
                                </a:stretch>
                              </pic:blipFill>
                              <pic:spPr>
                                <a:xfrm>
                                  <a:off x="0" y="0"/>
                                  <a:ext cx="4667249" cy="4591049"/>
                                </a:xfrm>
                                <a:prstGeom prst="rect">
                                  <a:avLst/>
                                </a:prstGeom>
                              </pic:spPr>
                            </pic:pic>
                          </wpg:wgp>
                        </a:graphicData>
                      </a:graphic>
                    </wp:anchor>
                  </w:drawing>
                </mc:Choice>
                <mc:Fallback>
                  <w:pict>
                    <v:group style="position:absolute;margin-left:-24.289999pt;margin-top:-12.686859pt;width:367.5pt;height:361.5pt;mso-position-horizontal-relative:column;mso-position-vertical-relative:paragraph;z-index:-15911936" id="docshapegroup4" coordorigin="-486,-254" coordsize="7350,7230">
                      <v:shape style="position:absolute;left:-486;top:-254;width:7350;height:7230" type="#_x0000_t75" id="docshape5" stroked="false">
                        <v:imagedata r:id="rId5" o:title=""/>
                      </v:shape>
                      <w10:wrap type="none"/>
                    </v:group>
                  </w:pict>
                </mc:Fallback>
              </mc:AlternateContent>
            </w:r>
            <w:r>
              <w:rPr>
                <w:sz w:val="24"/>
              </w:rPr>
              <w:t>(Amrul,</w:t>
            </w:r>
            <w:r>
              <w:rPr>
                <w:spacing w:val="-5"/>
                <w:sz w:val="24"/>
              </w:rPr>
              <w:t> </w:t>
            </w:r>
            <w:r>
              <w:rPr>
                <w:spacing w:val="-2"/>
                <w:sz w:val="24"/>
              </w:rPr>
              <w:t>2020)</w:t>
            </w:r>
          </w:p>
        </w:tc>
        <w:tc>
          <w:tcPr>
            <w:tcW w:w="2387" w:type="dxa"/>
          </w:tcPr>
          <w:p>
            <w:pPr>
              <w:pStyle w:val="TableParagraph"/>
              <w:ind w:right="203"/>
              <w:rPr>
                <w:sz w:val="24"/>
              </w:rPr>
            </w:pPr>
            <w:r>
              <w:rPr>
                <w:b/>
                <w:spacing w:val="-2"/>
                <w:sz w:val="24"/>
              </w:rPr>
              <w:t>Variabel Independen: </w:t>
            </w:r>
            <w:r>
              <w:rPr>
                <w:sz w:val="24"/>
              </w:rPr>
              <w:t>Pengaruh Modal </w:t>
            </w:r>
            <w:r>
              <w:rPr>
                <w:spacing w:val="-2"/>
                <w:sz w:val="24"/>
              </w:rPr>
              <w:t>Minimal, Pengetahuan </w:t>
            </w:r>
            <w:r>
              <w:rPr>
                <w:sz w:val="24"/>
              </w:rPr>
              <w:t>Investasi, Motivasi. </w:t>
            </w:r>
            <w:r>
              <w:rPr>
                <w:b/>
                <w:sz w:val="24"/>
              </w:rPr>
              <w:t>Variabel</w:t>
            </w:r>
            <w:r>
              <w:rPr>
                <w:b/>
                <w:spacing w:val="-15"/>
                <w:sz w:val="24"/>
              </w:rPr>
              <w:t> </w:t>
            </w:r>
            <w:r>
              <w:rPr>
                <w:b/>
                <w:sz w:val="24"/>
              </w:rPr>
              <w:t>Dependen: </w:t>
            </w:r>
            <w:r>
              <w:rPr>
                <w:sz w:val="24"/>
              </w:rPr>
              <w:t>Minat Berinvestasi.</w:t>
            </w:r>
          </w:p>
        </w:tc>
        <w:tc>
          <w:tcPr>
            <w:tcW w:w="2262" w:type="dxa"/>
          </w:tcPr>
          <w:p>
            <w:pPr>
              <w:pStyle w:val="TableParagraph"/>
              <w:ind w:right="121"/>
              <w:rPr>
                <w:sz w:val="24"/>
              </w:rPr>
            </w:pPr>
            <w:r>
              <w:rPr>
                <w:sz w:val="24"/>
              </w:rPr>
              <w:t>Hasil penelitian ini menunjukkan</w:t>
            </w:r>
            <w:r>
              <w:rPr>
                <w:spacing w:val="-11"/>
                <w:sz w:val="24"/>
              </w:rPr>
              <w:t> </w:t>
            </w:r>
            <w:r>
              <w:rPr>
                <w:sz w:val="24"/>
              </w:rPr>
              <w:t>bahwa modal minimal dan </w:t>
            </w:r>
            <w:r>
              <w:rPr>
                <w:spacing w:val="-2"/>
                <w:sz w:val="24"/>
              </w:rPr>
              <w:t>pengetahuan </w:t>
            </w:r>
            <w:r>
              <w:rPr>
                <w:sz w:val="24"/>
              </w:rPr>
              <w:t>investasi tidak </w:t>
            </w:r>
            <w:r>
              <w:rPr>
                <w:spacing w:val="-2"/>
                <w:sz w:val="24"/>
              </w:rPr>
              <w:t>berpengaruh</w:t>
            </w:r>
            <w:r>
              <w:rPr>
                <w:sz w:val="24"/>
              </w:rPr>
              <w:t> terhadap minat investasi.</w:t>
            </w:r>
            <w:r>
              <w:rPr>
                <w:spacing w:val="-15"/>
                <w:sz w:val="24"/>
              </w:rPr>
              <w:t> </w:t>
            </w:r>
            <w:r>
              <w:rPr>
                <w:sz w:val="24"/>
              </w:rPr>
              <w:t>Sebaliknya </w:t>
            </w:r>
            <w:r>
              <w:rPr>
                <w:spacing w:val="-2"/>
                <w:sz w:val="24"/>
              </w:rPr>
              <w:t>motivasi</w:t>
            </w:r>
            <w:r>
              <w:rPr>
                <w:spacing w:val="40"/>
                <w:sz w:val="24"/>
              </w:rPr>
              <w:t> </w:t>
            </w:r>
            <w:r>
              <w:rPr>
                <w:spacing w:val="-2"/>
                <w:sz w:val="24"/>
              </w:rPr>
              <w:t>berpengaruh</w:t>
            </w:r>
            <w:r>
              <w:rPr>
                <w:sz w:val="24"/>
              </w:rPr>
              <w:t> terhadap minat </w:t>
            </w:r>
            <w:r>
              <w:rPr>
                <w:spacing w:val="-2"/>
                <w:sz w:val="24"/>
              </w:rPr>
              <w:t>investasi.</w:t>
            </w:r>
          </w:p>
        </w:tc>
      </w:tr>
      <w:tr>
        <w:trPr>
          <w:trHeight w:val="2640" w:hRule="atLeast"/>
        </w:trPr>
        <w:tc>
          <w:tcPr>
            <w:tcW w:w="509" w:type="dxa"/>
          </w:tcPr>
          <w:p>
            <w:pPr>
              <w:pStyle w:val="TableParagraph"/>
              <w:spacing w:line="268" w:lineRule="exact"/>
              <w:ind w:left="0" w:right="96"/>
              <w:jc w:val="center"/>
              <w:rPr>
                <w:sz w:val="24"/>
              </w:rPr>
            </w:pPr>
            <w:r>
              <w:rPr>
                <w:spacing w:val="-5"/>
                <w:sz w:val="24"/>
              </w:rPr>
              <w:t>6.</w:t>
            </w:r>
          </w:p>
        </w:tc>
        <w:tc>
          <w:tcPr>
            <w:tcW w:w="2776" w:type="dxa"/>
          </w:tcPr>
          <w:p>
            <w:pPr>
              <w:pStyle w:val="TableParagraph"/>
              <w:ind w:left="110" w:right="43"/>
              <w:rPr>
                <w:sz w:val="24"/>
              </w:rPr>
            </w:pPr>
            <w:r>
              <w:rPr>
                <w:sz w:val="24"/>
              </w:rPr>
              <w:t>The</w:t>
            </w:r>
            <w:r>
              <w:rPr>
                <w:spacing w:val="-15"/>
                <w:sz w:val="24"/>
              </w:rPr>
              <w:t> </w:t>
            </w:r>
            <w:r>
              <w:rPr>
                <w:sz w:val="24"/>
              </w:rPr>
              <w:t>Influence</w:t>
            </w:r>
            <w:r>
              <w:rPr>
                <w:spacing w:val="-12"/>
                <w:sz w:val="24"/>
              </w:rPr>
              <w:t> </w:t>
            </w:r>
            <w:r>
              <w:rPr>
                <w:sz w:val="24"/>
              </w:rPr>
              <w:t>of</w:t>
            </w:r>
            <w:r>
              <w:rPr>
                <w:spacing w:val="-15"/>
                <w:sz w:val="24"/>
              </w:rPr>
              <w:t> </w:t>
            </w:r>
            <w:r>
              <w:rPr>
                <w:sz w:val="24"/>
              </w:rPr>
              <w:t>Finansial Technology, Minimum Capital, and Finansial Literacy On Student Invesment Interest. (Fanuel, 2023)</w:t>
            </w:r>
          </w:p>
        </w:tc>
        <w:tc>
          <w:tcPr>
            <w:tcW w:w="2387" w:type="dxa"/>
          </w:tcPr>
          <w:p>
            <w:pPr>
              <w:pStyle w:val="TableParagraph"/>
              <w:spacing w:line="242" w:lineRule="auto"/>
              <w:ind w:right="396"/>
              <w:rPr>
                <w:b/>
                <w:sz w:val="24"/>
              </w:rPr>
            </w:pPr>
            <w:r>
              <w:rPr>
                <w:b/>
                <w:spacing w:val="-2"/>
                <w:sz w:val="24"/>
              </w:rPr>
              <w:t>Variabel Independen:</w:t>
            </w:r>
          </w:p>
          <w:p>
            <w:pPr>
              <w:pStyle w:val="TableParagraph"/>
              <w:ind w:right="107"/>
              <w:rPr>
                <w:sz w:val="24"/>
              </w:rPr>
            </w:pPr>
            <w:r>
              <w:rPr>
                <w:sz w:val="24"/>
              </w:rPr>
              <w:t>The Influence of Financial</w:t>
            </w:r>
            <w:r>
              <w:rPr>
                <w:spacing w:val="-15"/>
                <w:sz w:val="24"/>
              </w:rPr>
              <w:t> </w:t>
            </w:r>
            <w:r>
              <w:rPr>
                <w:sz w:val="24"/>
              </w:rPr>
              <w:t>Technology, Minimum Capital,</w:t>
            </w:r>
            <w:r>
              <w:rPr>
                <w:spacing w:val="40"/>
                <w:sz w:val="24"/>
              </w:rPr>
              <w:t> </w:t>
            </w:r>
            <w:r>
              <w:rPr>
                <w:sz w:val="24"/>
              </w:rPr>
              <w:t>and</w:t>
            </w:r>
            <w:r>
              <w:rPr>
                <w:spacing w:val="-15"/>
                <w:sz w:val="24"/>
              </w:rPr>
              <w:t> </w:t>
            </w:r>
            <w:r>
              <w:rPr>
                <w:sz w:val="24"/>
              </w:rPr>
              <w:t>Financial</w:t>
            </w:r>
            <w:r>
              <w:rPr>
                <w:spacing w:val="-15"/>
                <w:sz w:val="24"/>
              </w:rPr>
              <w:t> </w:t>
            </w:r>
            <w:r>
              <w:rPr>
                <w:sz w:val="24"/>
              </w:rPr>
              <w:t>Literacy </w:t>
            </w:r>
            <w:r>
              <w:rPr>
                <w:b/>
                <w:sz w:val="24"/>
              </w:rPr>
              <w:t>Variabel Dependen: </w:t>
            </w:r>
            <w:r>
              <w:rPr>
                <w:sz w:val="24"/>
              </w:rPr>
              <w:t>Student Investment </w:t>
            </w:r>
            <w:r>
              <w:rPr>
                <w:spacing w:val="-2"/>
                <w:sz w:val="24"/>
              </w:rPr>
              <w:t>Interest.</w:t>
            </w:r>
          </w:p>
        </w:tc>
        <w:tc>
          <w:tcPr>
            <w:tcW w:w="2262" w:type="dxa"/>
          </w:tcPr>
          <w:p>
            <w:pPr>
              <w:pStyle w:val="TableParagraph"/>
              <w:ind w:right="131"/>
              <w:rPr>
                <w:sz w:val="24"/>
              </w:rPr>
            </w:pPr>
            <w:r>
              <w:rPr>
                <w:sz w:val="24"/>
              </w:rPr>
              <w:t>Hasil penelitian ini menunjukkan</w:t>
            </w:r>
            <w:r>
              <w:rPr>
                <w:spacing w:val="-15"/>
                <w:sz w:val="24"/>
              </w:rPr>
              <w:t> </w:t>
            </w:r>
            <w:r>
              <w:rPr>
                <w:sz w:val="24"/>
              </w:rPr>
              <w:t>bahwa Teknologi</w:t>
            </w:r>
            <w:r>
              <w:rPr>
                <w:spacing w:val="-15"/>
                <w:sz w:val="24"/>
              </w:rPr>
              <w:t> </w:t>
            </w:r>
            <w:r>
              <w:rPr>
                <w:sz w:val="24"/>
              </w:rPr>
              <w:t>Finansial, Modal Minimum dan Literasi </w:t>
            </w:r>
            <w:r>
              <w:rPr>
                <w:spacing w:val="-2"/>
                <w:sz w:val="24"/>
              </w:rPr>
              <w:t>Keuangan </w:t>
            </w:r>
            <w:r>
              <w:rPr>
                <w:sz w:val="24"/>
              </w:rPr>
              <w:t>berpengaruh positif terhadap minat investasi</w:t>
            </w:r>
            <w:r>
              <w:rPr>
                <w:spacing w:val="-15"/>
                <w:sz w:val="24"/>
              </w:rPr>
              <w:t> </w:t>
            </w:r>
            <w:r>
              <w:rPr>
                <w:sz w:val="24"/>
              </w:rPr>
              <w:t>mahasiswa.</w:t>
            </w:r>
          </w:p>
        </w:tc>
      </w:tr>
      <w:tr>
        <w:trPr>
          <w:trHeight w:val="3970" w:hRule="atLeast"/>
        </w:trPr>
        <w:tc>
          <w:tcPr>
            <w:tcW w:w="509" w:type="dxa"/>
          </w:tcPr>
          <w:p>
            <w:pPr>
              <w:pStyle w:val="TableParagraph"/>
              <w:spacing w:line="268" w:lineRule="exact"/>
              <w:ind w:left="0" w:right="96"/>
              <w:jc w:val="center"/>
              <w:rPr>
                <w:sz w:val="24"/>
              </w:rPr>
            </w:pPr>
            <w:r>
              <w:rPr>
                <w:spacing w:val="-5"/>
                <w:sz w:val="24"/>
              </w:rPr>
              <w:t>7.</w:t>
            </w:r>
          </w:p>
        </w:tc>
        <w:tc>
          <w:tcPr>
            <w:tcW w:w="2776" w:type="dxa"/>
          </w:tcPr>
          <w:p>
            <w:pPr>
              <w:pStyle w:val="TableParagraph"/>
              <w:ind w:left="110"/>
              <w:rPr>
                <w:sz w:val="24"/>
              </w:rPr>
            </w:pPr>
            <w:r>
              <w:rPr>
                <w:sz w:val="24"/>
              </w:rPr>
              <w:t>Challenges</w:t>
            </w:r>
            <w:r>
              <w:rPr>
                <w:spacing w:val="-15"/>
                <w:sz w:val="24"/>
              </w:rPr>
              <w:t> </w:t>
            </w:r>
            <w:r>
              <w:rPr>
                <w:sz w:val="24"/>
              </w:rPr>
              <w:t>In</w:t>
            </w:r>
            <w:r>
              <w:rPr>
                <w:spacing w:val="-15"/>
                <w:sz w:val="24"/>
              </w:rPr>
              <w:t> </w:t>
            </w:r>
            <w:r>
              <w:rPr>
                <w:sz w:val="24"/>
              </w:rPr>
              <w:t>Millennials Invesment Decision: A Study Of Behavioural </w:t>
            </w:r>
            <w:r>
              <w:rPr>
                <w:spacing w:val="-2"/>
                <w:sz w:val="24"/>
              </w:rPr>
              <w:t>Biases.</w:t>
            </w:r>
          </w:p>
          <w:p>
            <w:pPr>
              <w:pStyle w:val="TableParagraph"/>
              <w:ind w:left="110"/>
              <w:rPr>
                <w:sz w:val="24"/>
              </w:rPr>
            </w:pPr>
            <w:r>
              <w:rPr>
                <w:sz w:val="24"/>
              </w:rPr>
              <w:t>(Tubastuvi,</w:t>
            </w:r>
            <w:r>
              <w:rPr>
                <w:spacing w:val="-8"/>
                <w:sz w:val="24"/>
              </w:rPr>
              <w:t> </w:t>
            </w:r>
            <w:r>
              <w:rPr>
                <w:spacing w:val="-2"/>
                <w:sz w:val="24"/>
              </w:rPr>
              <w:t>2024)</w:t>
            </w:r>
          </w:p>
        </w:tc>
        <w:tc>
          <w:tcPr>
            <w:tcW w:w="2387" w:type="dxa"/>
          </w:tcPr>
          <w:p>
            <w:pPr>
              <w:pStyle w:val="TableParagraph"/>
              <w:ind w:right="139"/>
              <w:rPr>
                <w:sz w:val="24"/>
              </w:rPr>
            </w:pPr>
            <w:r>
              <w:rPr>
                <w:b/>
                <w:spacing w:val="-2"/>
                <w:sz w:val="24"/>
              </w:rPr>
              <w:t>Variabel Independen: </w:t>
            </w:r>
            <w:r>
              <w:rPr>
                <w:sz w:val="24"/>
              </w:rPr>
              <w:t>Cognitive</w:t>
            </w:r>
            <w:r>
              <w:rPr>
                <w:spacing w:val="-15"/>
                <w:sz w:val="24"/>
              </w:rPr>
              <w:t> </w:t>
            </w:r>
            <w:r>
              <w:rPr>
                <w:sz w:val="24"/>
              </w:rPr>
              <w:t>Dissonance Bias, Overconfident Bias, Herding Bias, Endowment</w:t>
            </w:r>
            <w:r>
              <w:rPr>
                <w:spacing w:val="-12"/>
                <w:sz w:val="24"/>
              </w:rPr>
              <w:t> </w:t>
            </w:r>
            <w:r>
              <w:rPr>
                <w:sz w:val="24"/>
              </w:rPr>
              <w:t>Bias,</w:t>
            </w:r>
            <w:r>
              <w:rPr>
                <w:spacing w:val="-13"/>
                <w:sz w:val="24"/>
              </w:rPr>
              <w:t> </w:t>
            </w:r>
            <w:r>
              <w:rPr>
                <w:sz w:val="24"/>
              </w:rPr>
              <w:t>and Confirmation Bias, </w:t>
            </w:r>
            <w:r>
              <w:rPr>
                <w:b/>
                <w:sz w:val="24"/>
              </w:rPr>
              <w:t>Variabel Dependen: </w:t>
            </w:r>
            <w:r>
              <w:rPr>
                <w:sz w:val="24"/>
              </w:rPr>
              <w:t>Millennial</w:t>
            </w:r>
            <w:r>
              <w:rPr>
                <w:spacing w:val="-15"/>
                <w:sz w:val="24"/>
              </w:rPr>
              <w:t> </w:t>
            </w:r>
            <w:r>
              <w:rPr>
                <w:sz w:val="24"/>
              </w:rPr>
              <w:t>Generation In The Capital </w:t>
            </w:r>
            <w:r>
              <w:rPr>
                <w:spacing w:val="-2"/>
                <w:sz w:val="24"/>
              </w:rPr>
              <w:t>Market.</w:t>
            </w:r>
          </w:p>
        </w:tc>
        <w:tc>
          <w:tcPr>
            <w:tcW w:w="2262" w:type="dxa"/>
          </w:tcPr>
          <w:p>
            <w:pPr>
              <w:pStyle w:val="TableParagraph"/>
              <w:ind w:right="153"/>
              <w:rPr>
                <w:sz w:val="24"/>
              </w:rPr>
            </w:pPr>
            <w:r>
              <w:rPr>
                <w:sz w:val="24"/>
              </w:rPr>
              <w:t>Hasil penelitian ini menunjukkan</w:t>
            </w:r>
            <w:r>
              <w:rPr>
                <w:spacing w:val="-15"/>
                <w:sz w:val="24"/>
              </w:rPr>
              <w:t> </w:t>
            </w:r>
            <w:r>
              <w:rPr>
                <w:sz w:val="24"/>
              </w:rPr>
              <w:t>bahwa bias disonansi kognitif, bias terlalu percaya diri, dan </w:t>
            </w:r>
            <w:r>
              <w:rPr>
                <w:spacing w:val="-4"/>
                <w:sz w:val="24"/>
              </w:rPr>
              <w:t>bias</w:t>
            </w:r>
          </w:p>
          <w:p>
            <w:pPr>
              <w:pStyle w:val="TableParagraph"/>
              <w:ind w:right="114"/>
              <w:rPr>
                <w:sz w:val="24"/>
              </w:rPr>
            </w:pPr>
            <w:r>
              <w:rPr>
                <w:spacing w:val="-2"/>
                <w:sz w:val="24"/>
              </w:rPr>
              <w:t>endowment</w:t>
            </w:r>
            <w:r>
              <w:rPr>
                <w:spacing w:val="80"/>
                <w:sz w:val="24"/>
              </w:rPr>
              <w:t> </w:t>
            </w:r>
            <w:r>
              <w:rPr>
                <w:sz w:val="24"/>
              </w:rPr>
              <w:t>memiliki pengaruh terhadap keputusan investasi. Namun, bias</w:t>
            </w:r>
            <w:r>
              <w:rPr>
                <w:spacing w:val="-15"/>
                <w:sz w:val="24"/>
              </w:rPr>
              <w:t> </w:t>
            </w:r>
            <w:r>
              <w:rPr>
                <w:sz w:val="24"/>
              </w:rPr>
              <w:t>herding</w:t>
            </w:r>
            <w:r>
              <w:rPr>
                <w:spacing w:val="-15"/>
                <w:sz w:val="24"/>
              </w:rPr>
              <w:t> </w:t>
            </w:r>
            <w:r>
              <w:rPr>
                <w:sz w:val="24"/>
              </w:rPr>
              <w:t>dan</w:t>
            </w:r>
            <w:r>
              <w:rPr>
                <w:spacing w:val="-15"/>
                <w:sz w:val="24"/>
              </w:rPr>
              <w:t> </w:t>
            </w:r>
            <w:r>
              <w:rPr>
                <w:sz w:val="24"/>
              </w:rPr>
              <w:t>bias konfirmasi tidak </w:t>
            </w:r>
            <w:r>
              <w:rPr>
                <w:spacing w:val="-2"/>
                <w:sz w:val="24"/>
              </w:rPr>
              <w:t>memengaruhi </w:t>
            </w:r>
            <w:r>
              <w:rPr>
                <w:sz w:val="24"/>
              </w:rPr>
              <w:t>keputusan investasi.</w:t>
            </w:r>
          </w:p>
        </w:tc>
      </w:tr>
    </w:tbl>
    <w:p>
      <w:pPr>
        <w:pStyle w:val="BodyText"/>
        <w:spacing w:before="0"/>
        <w:ind w:left="0"/>
        <w:jc w:val="left"/>
        <w:rPr>
          <w:b/>
        </w:rPr>
      </w:pPr>
    </w:p>
    <w:p>
      <w:pPr>
        <w:pStyle w:val="BodyText"/>
        <w:spacing w:line="480" w:lineRule="auto"/>
        <w:ind w:firstLine="682"/>
        <w:jc w:val="left"/>
      </w:pPr>
      <w:r>
        <w:rPr/>
        <w:t>Penelitian</w:t>
      </w:r>
      <w:r>
        <w:rPr>
          <w:spacing w:val="34"/>
        </w:rPr>
        <w:t> </w:t>
      </w:r>
      <w:r>
        <w:rPr/>
        <w:t>ini</w:t>
      </w:r>
      <w:r>
        <w:rPr>
          <w:spacing w:val="30"/>
        </w:rPr>
        <w:t> </w:t>
      </w:r>
      <w:r>
        <w:rPr/>
        <w:t>merupakan</w:t>
      </w:r>
      <w:r>
        <w:rPr>
          <w:spacing w:val="29"/>
        </w:rPr>
        <w:t> </w:t>
      </w:r>
      <w:r>
        <w:rPr/>
        <w:t>bentuk</w:t>
      </w:r>
      <w:r>
        <w:rPr>
          <w:spacing w:val="34"/>
        </w:rPr>
        <w:t> </w:t>
      </w:r>
      <w:r>
        <w:rPr/>
        <w:t>replikasi dari penelitian</w:t>
      </w:r>
      <w:r>
        <w:rPr>
          <w:spacing w:val="34"/>
        </w:rPr>
        <w:t> </w:t>
      </w:r>
      <w:r>
        <w:rPr/>
        <w:t>yang</w:t>
      </w:r>
      <w:r>
        <w:rPr>
          <w:spacing w:val="34"/>
        </w:rPr>
        <w:t> </w:t>
      </w:r>
      <w:r>
        <w:rPr/>
        <w:t>dilakukan </w:t>
      </w:r>
      <w:r>
        <w:rPr>
          <w:spacing w:val="-2"/>
        </w:rPr>
        <w:t>oleh</w:t>
      </w:r>
      <w:r>
        <w:rPr>
          <w:spacing w:val="-9"/>
        </w:rPr>
        <w:t> </w:t>
      </w:r>
      <w:r>
        <w:rPr>
          <w:spacing w:val="-2"/>
        </w:rPr>
        <w:t>Dewi</w:t>
      </w:r>
      <w:r>
        <w:rPr>
          <w:spacing w:val="-7"/>
        </w:rPr>
        <w:t> </w:t>
      </w:r>
      <w:r>
        <w:rPr>
          <w:spacing w:val="-2"/>
        </w:rPr>
        <w:t>(2019)</w:t>
      </w:r>
      <w:r>
        <w:rPr>
          <w:spacing w:val="1"/>
        </w:rPr>
        <w:t> </w:t>
      </w:r>
      <w:r>
        <w:rPr>
          <w:spacing w:val="-2"/>
        </w:rPr>
        <w:t>mengenai</w:t>
      </w:r>
      <w:r>
        <w:rPr>
          <w:spacing w:val="-1"/>
        </w:rPr>
        <w:t> </w:t>
      </w:r>
      <w:r>
        <w:rPr>
          <w:spacing w:val="-2"/>
        </w:rPr>
        <w:t>“Fasilitas</w:t>
      </w:r>
      <w:r>
        <w:rPr>
          <w:spacing w:val="-4"/>
        </w:rPr>
        <w:t> </w:t>
      </w:r>
      <w:r>
        <w:rPr>
          <w:spacing w:val="-2"/>
        </w:rPr>
        <w:t>Online Trading</w:t>
      </w:r>
      <w:r>
        <w:rPr/>
        <w:t> </w:t>
      </w:r>
      <w:r>
        <w:rPr>
          <w:spacing w:val="-2"/>
        </w:rPr>
        <w:t>dan</w:t>
      </w:r>
      <w:r>
        <w:rPr>
          <w:spacing w:val="-7"/>
        </w:rPr>
        <w:t> </w:t>
      </w:r>
      <w:r>
        <w:rPr>
          <w:spacing w:val="-2"/>
        </w:rPr>
        <w:t>Modal</w:t>
      </w:r>
      <w:r>
        <w:rPr>
          <w:spacing w:val="-13"/>
        </w:rPr>
        <w:t> </w:t>
      </w:r>
      <w:r>
        <w:rPr>
          <w:spacing w:val="-2"/>
        </w:rPr>
        <w:t>Minimal</w:t>
      </w:r>
      <w:r>
        <w:rPr>
          <w:spacing w:val="-12"/>
        </w:rPr>
        <w:t> </w:t>
      </w:r>
      <w:r>
        <w:rPr>
          <w:spacing w:val="-2"/>
        </w:rPr>
        <w:t>Investasi</w:t>
      </w:r>
    </w:p>
    <w:p>
      <w:pPr>
        <w:pStyle w:val="BodyText"/>
        <w:spacing w:after="0" w:line="480" w:lineRule="auto"/>
        <w:jc w:val="left"/>
        <w:sectPr>
          <w:pgSz w:w="11910" w:h="16840"/>
          <w:pgMar w:header="612" w:footer="0" w:top="1920" w:bottom="280" w:left="1700" w:right="1559"/>
        </w:sectPr>
      </w:pPr>
    </w:p>
    <w:p>
      <w:pPr>
        <w:pStyle w:val="BodyText"/>
        <w:spacing w:before="48"/>
        <w:ind w:left="0"/>
        <w:jc w:val="left"/>
      </w:pPr>
    </w:p>
    <w:p>
      <w:pPr>
        <w:pStyle w:val="BodyText"/>
        <w:spacing w:line="480" w:lineRule="auto"/>
        <w:ind w:right="135"/>
      </w:pPr>
      <w:r>
        <w:rPr/>
        <w:drawing>
          <wp:anchor distT="0" distB="0" distL="0" distR="0" allowOverlap="1" layoutInCell="1" locked="0" behindDoc="1" simplePos="0" relativeHeight="487405056">
            <wp:simplePos x="0" y="0"/>
            <wp:positionH relativeFrom="page">
              <wp:posOffset>1456944</wp:posOffset>
            </wp:positionH>
            <wp:positionV relativeFrom="paragraph">
              <wp:posOffset>1604532</wp:posOffset>
            </wp:positionV>
            <wp:extent cx="4667249" cy="4591049"/>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5" cstate="print"/>
                    <a:stretch>
                      <a:fillRect/>
                    </a:stretch>
                  </pic:blipFill>
                  <pic:spPr>
                    <a:xfrm>
                      <a:off x="0" y="0"/>
                      <a:ext cx="4667249" cy="4591049"/>
                    </a:xfrm>
                    <a:prstGeom prst="rect">
                      <a:avLst/>
                    </a:prstGeom>
                  </pic:spPr>
                </pic:pic>
              </a:graphicData>
            </a:graphic>
          </wp:anchor>
        </w:drawing>
      </w:r>
      <w:r>
        <w:rPr/>
        <w:t>terhadap Minat Mahasiswa”, dengan</w:t>
      </w:r>
      <w:r>
        <w:rPr>
          <w:spacing w:val="-1"/>
        </w:rPr>
        <w:t> </w:t>
      </w:r>
      <w:r>
        <w:rPr/>
        <w:t>perbedaan</w:t>
      </w:r>
      <w:r>
        <w:rPr>
          <w:spacing w:val="-1"/>
        </w:rPr>
        <w:t> </w:t>
      </w:r>
      <w:r>
        <w:rPr/>
        <w:t>pada objek serta lokasi</w:t>
      </w:r>
      <w:r>
        <w:rPr>
          <w:spacing w:val="-5"/>
        </w:rPr>
        <w:t> </w:t>
      </w:r>
      <w:r>
        <w:rPr/>
        <w:t>penelitian. Pada penelitian sebelumnya, responden yang digunakan adalah mahasiswa Politeknik Negeri Bali yang telah mendapatkan mata kuliah pasar modal dan memiliki pengalaman berinvestasi. Sementara itu, penelitian ini menggunakan responden yang berbeda, yaitu mahasiswa Universitas Muslim Nusantara Al Washliyah</w:t>
      </w:r>
      <w:r>
        <w:rPr>
          <w:spacing w:val="-15"/>
        </w:rPr>
        <w:t> </w:t>
      </w:r>
      <w:r>
        <w:rPr/>
        <w:t>Medan</w:t>
      </w:r>
      <w:r>
        <w:rPr>
          <w:spacing w:val="-15"/>
        </w:rPr>
        <w:t> </w:t>
      </w:r>
      <w:r>
        <w:rPr/>
        <w:t>yang</w:t>
      </w:r>
      <w:r>
        <w:rPr>
          <w:spacing w:val="-10"/>
        </w:rPr>
        <w:t> </w:t>
      </w:r>
      <w:r>
        <w:rPr/>
        <w:t>belum</w:t>
      </w:r>
      <w:r>
        <w:rPr>
          <w:spacing w:val="-14"/>
        </w:rPr>
        <w:t> </w:t>
      </w:r>
      <w:r>
        <w:rPr/>
        <w:t>memiliki</w:t>
      </w:r>
      <w:r>
        <w:rPr>
          <w:spacing w:val="-15"/>
        </w:rPr>
        <w:t> </w:t>
      </w:r>
      <w:r>
        <w:rPr/>
        <w:t>pengalaman</w:t>
      </w:r>
      <w:r>
        <w:rPr>
          <w:spacing w:val="-11"/>
        </w:rPr>
        <w:t> </w:t>
      </w:r>
      <w:r>
        <w:rPr/>
        <w:t>investasi</w:t>
      </w:r>
      <w:r>
        <w:rPr>
          <w:spacing w:val="-15"/>
        </w:rPr>
        <w:t> </w:t>
      </w:r>
      <w:r>
        <w:rPr/>
        <w:t>di</w:t>
      </w:r>
      <w:r>
        <w:rPr>
          <w:spacing w:val="-15"/>
        </w:rPr>
        <w:t> </w:t>
      </w:r>
      <w:r>
        <w:rPr/>
        <w:t>pasar</w:t>
      </w:r>
      <w:r>
        <w:rPr>
          <w:spacing w:val="-4"/>
        </w:rPr>
        <w:t> </w:t>
      </w:r>
      <w:r>
        <w:rPr/>
        <w:t>modal,</w:t>
      </w:r>
      <w:r>
        <w:rPr>
          <w:spacing w:val="-9"/>
        </w:rPr>
        <w:t> </w:t>
      </w:r>
      <w:r>
        <w:rPr/>
        <w:t>serta menambahkan variabel baru yaitu pengetahuan investasi.</w:t>
      </w:r>
    </w:p>
    <w:p>
      <w:pPr>
        <w:pStyle w:val="BodyText"/>
        <w:spacing w:line="480" w:lineRule="auto"/>
        <w:ind w:right="142" w:firstLine="682"/>
      </w:pPr>
      <w:r>
        <w:rPr/>
        <w:t>Kesamaan</w:t>
      </w:r>
      <w:r>
        <w:rPr>
          <w:spacing w:val="-11"/>
        </w:rPr>
        <w:t> </w:t>
      </w:r>
      <w:r>
        <w:rPr/>
        <w:t>antara</w:t>
      </w:r>
      <w:r>
        <w:rPr>
          <w:spacing w:val="-8"/>
        </w:rPr>
        <w:t> </w:t>
      </w:r>
      <w:r>
        <w:rPr/>
        <w:t>penelitian</w:t>
      </w:r>
      <w:r>
        <w:rPr>
          <w:spacing w:val="-7"/>
        </w:rPr>
        <w:t> </w:t>
      </w:r>
      <w:r>
        <w:rPr/>
        <w:t>ini</w:t>
      </w:r>
      <w:r>
        <w:rPr>
          <w:spacing w:val="-10"/>
        </w:rPr>
        <w:t> </w:t>
      </w:r>
      <w:r>
        <w:rPr/>
        <w:t>dengan</w:t>
      </w:r>
      <w:r>
        <w:rPr>
          <w:spacing w:val="-11"/>
        </w:rPr>
        <w:t> </w:t>
      </w:r>
      <w:r>
        <w:rPr/>
        <w:t>penelitian</w:t>
      </w:r>
      <w:r>
        <w:rPr>
          <w:spacing w:val="-7"/>
        </w:rPr>
        <w:t> </w:t>
      </w:r>
      <w:r>
        <w:rPr/>
        <w:t>Dewi</w:t>
      </w:r>
      <w:r>
        <w:rPr>
          <w:spacing w:val="-15"/>
        </w:rPr>
        <w:t> </w:t>
      </w:r>
      <w:r>
        <w:rPr/>
        <w:t>(2019)</w:t>
      </w:r>
      <w:r>
        <w:rPr>
          <w:spacing w:val="-5"/>
        </w:rPr>
        <w:t> </w:t>
      </w:r>
      <w:r>
        <w:rPr/>
        <w:t>terletak</w:t>
      </w:r>
      <w:r>
        <w:rPr>
          <w:spacing w:val="-7"/>
        </w:rPr>
        <w:t> </w:t>
      </w:r>
      <w:r>
        <w:rPr/>
        <w:t>pada variabel fasilitas online trading dan modal minimal yang diuji pengaruhnya terhadap minat investasi mahasiswa. Selain itu, penelitian ini juga menggunakan data primer melalui penyebaran kuesioner kepada responden sebagai metode pengumpulan data.</w:t>
      </w:r>
    </w:p>
    <w:p>
      <w:pPr>
        <w:pStyle w:val="BodyText"/>
        <w:spacing w:line="480" w:lineRule="auto"/>
        <w:ind w:right="142" w:firstLine="682"/>
      </w:pPr>
      <w:r>
        <w:rPr/>
        <w:t>Berdasarkan latar belakang tersebut, peneliti terdorong untuk kembali mengkaji</w:t>
      </w:r>
      <w:r>
        <w:rPr>
          <w:spacing w:val="-12"/>
        </w:rPr>
        <w:t> </w:t>
      </w:r>
      <w:r>
        <w:rPr/>
        <w:t>topik ini</w:t>
      </w:r>
      <w:r>
        <w:rPr>
          <w:spacing w:val="-12"/>
        </w:rPr>
        <w:t> </w:t>
      </w:r>
      <w:r>
        <w:rPr/>
        <w:t>dengan</w:t>
      </w:r>
      <w:r>
        <w:rPr>
          <w:spacing w:val="-4"/>
        </w:rPr>
        <w:t> </w:t>
      </w:r>
      <w:r>
        <w:rPr/>
        <w:t>judul:</w:t>
      </w:r>
      <w:r>
        <w:rPr>
          <w:spacing w:val="-4"/>
        </w:rPr>
        <w:t> </w:t>
      </w:r>
      <w:r>
        <w:rPr/>
        <w:t>“Pengetahuan</w:t>
      </w:r>
      <w:r>
        <w:rPr>
          <w:spacing w:val="-8"/>
        </w:rPr>
        <w:t> </w:t>
      </w:r>
      <w:r>
        <w:rPr/>
        <w:t>Investasi,</w:t>
      </w:r>
      <w:r>
        <w:rPr>
          <w:spacing w:val="-2"/>
        </w:rPr>
        <w:t> </w:t>
      </w:r>
      <w:r>
        <w:rPr/>
        <w:t>Fasilitas</w:t>
      </w:r>
      <w:r>
        <w:rPr>
          <w:spacing w:val="-7"/>
        </w:rPr>
        <w:t> </w:t>
      </w:r>
      <w:r>
        <w:rPr/>
        <w:t>Online</w:t>
      </w:r>
      <w:r>
        <w:rPr>
          <w:spacing w:val="-5"/>
        </w:rPr>
        <w:t> </w:t>
      </w:r>
      <w:r>
        <w:rPr/>
        <w:t>Trading, dan Modal Minimal terhadap Minat Investasi Mahasiswa Universitas Muslim Nusantara Al Washliyah.”</w:t>
      </w:r>
    </w:p>
    <w:p>
      <w:pPr>
        <w:pStyle w:val="Heading1"/>
        <w:numPr>
          <w:ilvl w:val="1"/>
          <w:numId w:val="1"/>
        </w:numPr>
        <w:tabs>
          <w:tab w:pos="925" w:val="left" w:leader="none"/>
        </w:tabs>
        <w:spacing w:line="240" w:lineRule="auto" w:before="1" w:after="0"/>
        <w:ind w:left="925" w:right="0" w:hanging="359"/>
        <w:jc w:val="both"/>
      </w:pPr>
      <w:bookmarkStart w:name="2.3 Kerangka Konseptual" w:id="9"/>
      <w:bookmarkEnd w:id="9"/>
      <w:r>
        <w:rPr>
          <w:b w:val="0"/>
        </w:rPr>
      </w:r>
      <w:r>
        <w:rPr/>
        <w:t>Kerangka</w:t>
      </w:r>
      <w:r>
        <w:rPr>
          <w:spacing w:val="-6"/>
        </w:rPr>
        <w:t> </w:t>
      </w:r>
      <w:r>
        <w:rPr>
          <w:spacing w:val="-2"/>
        </w:rPr>
        <w:t>Konseptual</w:t>
      </w:r>
    </w:p>
    <w:p>
      <w:pPr>
        <w:pStyle w:val="BodyText"/>
        <w:spacing w:line="480" w:lineRule="auto" w:before="242"/>
        <w:ind w:right="145" w:firstLine="720"/>
      </w:pPr>
      <w:r>
        <w:rPr/>
        <w:t>Berdasarkan kajian pustaka dan penelitian terdahulu, penelitian ini membentuk model konseptual berikut:</w:t>
      </w:r>
    </w:p>
    <w:p>
      <w:pPr>
        <w:pStyle w:val="BodyText"/>
        <w:spacing w:after="0" w:line="480" w:lineRule="auto"/>
        <w:sectPr>
          <w:pgSz w:w="11910" w:h="16840"/>
          <w:pgMar w:header="612" w:footer="0" w:top="1920" w:bottom="280" w:left="1700" w:right="1559"/>
        </w:sectPr>
      </w:pPr>
    </w:p>
    <w:p>
      <w:pPr>
        <w:pStyle w:val="BodyText"/>
        <w:spacing w:before="212"/>
        <w:ind w:left="0"/>
        <w:jc w:val="left"/>
        <w:rPr>
          <w:sz w:val="20"/>
        </w:rPr>
      </w:pPr>
    </w:p>
    <w:p>
      <w:pPr>
        <w:spacing w:line="240" w:lineRule="auto"/>
        <w:ind w:left="506" w:right="0" w:firstLine="0"/>
        <w:rPr>
          <w:sz w:val="20"/>
        </w:rPr>
      </w:pPr>
      <w:r>
        <w:rPr>
          <w:sz w:val="20"/>
        </w:rPr>
        <mc:AlternateContent>
          <mc:Choice Requires="wps">
            <w:drawing>
              <wp:inline distT="0" distB="0" distL="0" distR="0">
                <wp:extent cx="4703445" cy="2687320"/>
                <wp:effectExtent l="9525" t="0" r="1904" b="8255"/>
                <wp:docPr id="19" name="Group 19"/>
                <wp:cNvGraphicFramePr>
                  <a:graphicFrameLocks/>
                </wp:cNvGraphicFramePr>
                <a:graphic>
                  <a:graphicData uri="http://schemas.microsoft.com/office/word/2010/wordprocessingGroup">
                    <wpg:wgp>
                      <wpg:cNvPr id="19" name="Group 19"/>
                      <wpg:cNvGrpSpPr/>
                      <wpg:grpSpPr>
                        <a:xfrm>
                          <a:off x="0" y="0"/>
                          <a:ext cx="4703445" cy="2687320"/>
                          <a:chExt cx="4703445" cy="2687320"/>
                        </a:xfrm>
                      </wpg:grpSpPr>
                      <wps:wsp>
                        <wps:cNvPr id="20" name="Graphic 20"/>
                        <wps:cNvSpPr/>
                        <wps:spPr>
                          <a:xfrm>
                            <a:off x="394334" y="6350"/>
                            <a:ext cx="1666239" cy="1357630"/>
                          </a:xfrm>
                          <a:custGeom>
                            <a:avLst/>
                            <a:gdLst/>
                            <a:ahLst/>
                            <a:cxnLst/>
                            <a:rect l="l" t="t" r="r" b="b"/>
                            <a:pathLst>
                              <a:path w="1666239" h="1357630">
                                <a:moveTo>
                                  <a:pt x="0" y="80899"/>
                                </a:moveTo>
                                <a:lnTo>
                                  <a:pt x="6353" y="49399"/>
                                </a:lnTo>
                                <a:lnTo>
                                  <a:pt x="23685" y="23685"/>
                                </a:lnTo>
                                <a:lnTo>
                                  <a:pt x="49399" y="6353"/>
                                </a:lnTo>
                                <a:lnTo>
                                  <a:pt x="80899" y="0"/>
                                </a:lnTo>
                                <a:lnTo>
                                  <a:pt x="1576324" y="0"/>
                                </a:lnTo>
                                <a:lnTo>
                                  <a:pt x="1607897" y="6353"/>
                                </a:lnTo>
                                <a:lnTo>
                                  <a:pt x="1633648" y="23685"/>
                                </a:lnTo>
                                <a:lnTo>
                                  <a:pt x="1650994" y="49399"/>
                                </a:lnTo>
                                <a:lnTo>
                                  <a:pt x="1657350" y="80899"/>
                                </a:lnTo>
                                <a:lnTo>
                                  <a:pt x="1657350" y="404749"/>
                                </a:lnTo>
                                <a:lnTo>
                                  <a:pt x="1650994" y="436322"/>
                                </a:lnTo>
                                <a:lnTo>
                                  <a:pt x="1633648" y="462073"/>
                                </a:lnTo>
                                <a:lnTo>
                                  <a:pt x="1607897" y="479419"/>
                                </a:lnTo>
                                <a:lnTo>
                                  <a:pt x="1576324" y="485775"/>
                                </a:lnTo>
                                <a:lnTo>
                                  <a:pt x="80899" y="485775"/>
                                </a:lnTo>
                                <a:lnTo>
                                  <a:pt x="49399" y="479419"/>
                                </a:lnTo>
                                <a:lnTo>
                                  <a:pt x="23685" y="462073"/>
                                </a:lnTo>
                                <a:lnTo>
                                  <a:pt x="6353" y="436322"/>
                                </a:lnTo>
                                <a:lnTo>
                                  <a:pt x="0" y="404749"/>
                                </a:lnTo>
                                <a:lnTo>
                                  <a:pt x="0" y="80899"/>
                                </a:lnTo>
                                <a:close/>
                              </a:path>
                              <a:path w="1666239" h="1357630">
                                <a:moveTo>
                                  <a:pt x="8890" y="952373"/>
                                </a:moveTo>
                                <a:lnTo>
                                  <a:pt x="15243" y="920853"/>
                                </a:lnTo>
                                <a:lnTo>
                                  <a:pt x="32575" y="895096"/>
                                </a:lnTo>
                                <a:lnTo>
                                  <a:pt x="58289" y="877720"/>
                                </a:lnTo>
                                <a:lnTo>
                                  <a:pt x="89788" y="871347"/>
                                </a:lnTo>
                                <a:lnTo>
                                  <a:pt x="1585214" y="871347"/>
                                </a:lnTo>
                                <a:lnTo>
                                  <a:pt x="1616787" y="877720"/>
                                </a:lnTo>
                                <a:lnTo>
                                  <a:pt x="1642538" y="895096"/>
                                </a:lnTo>
                                <a:lnTo>
                                  <a:pt x="1659884" y="920853"/>
                                </a:lnTo>
                                <a:lnTo>
                                  <a:pt x="1666240" y="952373"/>
                                </a:lnTo>
                                <a:lnTo>
                                  <a:pt x="1666240" y="1276223"/>
                                </a:lnTo>
                                <a:lnTo>
                                  <a:pt x="1659884" y="1307722"/>
                                </a:lnTo>
                                <a:lnTo>
                                  <a:pt x="1642538" y="1333436"/>
                                </a:lnTo>
                                <a:lnTo>
                                  <a:pt x="1616787" y="1350768"/>
                                </a:lnTo>
                                <a:lnTo>
                                  <a:pt x="1585214" y="1357122"/>
                                </a:lnTo>
                                <a:lnTo>
                                  <a:pt x="89788" y="1357122"/>
                                </a:lnTo>
                                <a:lnTo>
                                  <a:pt x="58289" y="1350768"/>
                                </a:lnTo>
                                <a:lnTo>
                                  <a:pt x="32575" y="1333436"/>
                                </a:lnTo>
                                <a:lnTo>
                                  <a:pt x="15243" y="1307722"/>
                                </a:lnTo>
                                <a:lnTo>
                                  <a:pt x="8890" y="1276223"/>
                                </a:lnTo>
                                <a:lnTo>
                                  <a:pt x="8890" y="952373"/>
                                </a:lnTo>
                                <a:close/>
                              </a:path>
                            </a:pathLst>
                          </a:custGeom>
                          <a:ln w="12700">
                            <a:solidFill>
                              <a:srgbClr val="000000"/>
                            </a:solidFill>
                            <a:prstDash val="solid"/>
                          </a:ln>
                        </wps:spPr>
                        <wps:bodyPr wrap="square" lIns="0" tIns="0" rIns="0" bIns="0" rtlCol="0">
                          <a:prstTxWarp prst="textNoShape">
                            <a:avLst/>
                          </a:prstTxWarp>
                          <a:noAutofit/>
                        </wps:bodyPr>
                      </wps:wsp>
                      <wps:wsp>
                        <wps:cNvPr id="21" name="Graphic 21"/>
                        <wps:cNvSpPr/>
                        <wps:spPr>
                          <a:xfrm>
                            <a:off x="408940" y="1666748"/>
                            <a:ext cx="1666875" cy="504825"/>
                          </a:xfrm>
                          <a:custGeom>
                            <a:avLst/>
                            <a:gdLst/>
                            <a:ahLst/>
                            <a:cxnLst/>
                            <a:rect l="l" t="t" r="r" b="b"/>
                            <a:pathLst>
                              <a:path w="1666875" h="504825">
                                <a:moveTo>
                                  <a:pt x="1582674" y="0"/>
                                </a:moveTo>
                                <a:lnTo>
                                  <a:pt x="84200" y="0"/>
                                </a:lnTo>
                                <a:lnTo>
                                  <a:pt x="51434" y="6600"/>
                                </a:lnTo>
                                <a:lnTo>
                                  <a:pt x="24669" y="24606"/>
                                </a:lnTo>
                                <a:lnTo>
                                  <a:pt x="6619" y="51327"/>
                                </a:lnTo>
                                <a:lnTo>
                                  <a:pt x="0" y="84074"/>
                                </a:lnTo>
                                <a:lnTo>
                                  <a:pt x="0" y="420624"/>
                                </a:lnTo>
                                <a:lnTo>
                                  <a:pt x="6619" y="453390"/>
                                </a:lnTo>
                                <a:lnTo>
                                  <a:pt x="24669" y="480155"/>
                                </a:lnTo>
                                <a:lnTo>
                                  <a:pt x="51435" y="498205"/>
                                </a:lnTo>
                                <a:lnTo>
                                  <a:pt x="84200" y="504825"/>
                                </a:lnTo>
                                <a:lnTo>
                                  <a:pt x="1582674" y="504825"/>
                                </a:lnTo>
                                <a:lnTo>
                                  <a:pt x="1615439" y="498205"/>
                                </a:lnTo>
                                <a:lnTo>
                                  <a:pt x="1642205" y="480155"/>
                                </a:lnTo>
                                <a:lnTo>
                                  <a:pt x="1660255" y="453390"/>
                                </a:lnTo>
                                <a:lnTo>
                                  <a:pt x="1666875" y="420624"/>
                                </a:lnTo>
                                <a:lnTo>
                                  <a:pt x="1666875" y="84074"/>
                                </a:lnTo>
                                <a:lnTo>
                                  <a:pt x="1660255" y="51327"/>
                                </a:lnTo>
                                <a:lnTo>
                                  <a:pt x="1642205" y="24606"/>
                                </a:lnTo>
                                <a:lnTo>
                                  <a:pt x="1615439" y="6600"/>
                                </a:lnTo>
                                <a:lnTo>
                                  <a:pt x="1582674" y="0"/>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408940" y="879602"/>
                            <a:ext cx="4288155" cy="1292225"/>
                          </a:xfrm>
                          <a:custGeom>
                            <a:avLst/>
                            <a:gdLst/>
                            <a:ahLst/>
                            <a:cxnLst/>
                            <a:rect l="l" t="t" r="r" b="b"/>
                            <a:pathLst>
                              <a:path w="4288155" h="1292225">
                                <a:moveTo>
                                  <a:pt x="0" y="871220"/>
                                </a:moveTo>
                                <a:lnTo>
                                  <a:pt x="6619" y="838473"/>
                                </a:lnTo>
                                <a:lnTo>
                                  <a:pt x="24669" y="811752"/>
                                </a:lnTo>
                                <a:lnTo>
                                  <a:pt x="51434" y="793746"/>
                                </a:lnTo>
                                <a:lnTo>
                                  <a:pt x="84200" y="787146"/>
                                </a:lnTo>
                                <a:lnTo>
                                  <a:pt x="1582674" y="787146"/>
                                </a:lnTo>
                                <a:lnTo>
                                  <a:pt x="1615439" y="793746"/>
                                </a:lnTo>
                                <a:lnTo>
                                  <a:pt x="1642205" y="811752"/>
                                </a:lnTo>
                                <a:lnTo>
                                  <a:pt x="1660255" y="838473"/>
                                </a:lnTo>
                                <a:lnTo>
                                  <a:pt x="1666875" y="871220"/>
                                </a:lnTo>
                                <a:lnTo>
                                  <a:pt x="1666875" y="1207770"/>
                                </a:lnTo>
                                <a:lnTo>
                                  <a:pt x="1660255" y="1240536"/>
                                </a:lnTo>
                                <a:lnTo>
                                  <a:pt x="1642205" y="1267301"/>
                                </a:lnTo>
                                <a:lnTo>
                                  <a:pt x="1615439" y="1285351"/>
                                </a:lnTo>
                                <a:lnTo>
                                  <a:pt x="1582674" y="1291971"/>
                                </a:lnTo>
                                <a:lnTo>
                                  <a:pt x="84200" y="1291971"/>
                                </a:lnTo>
                                <a:lnTo>
                                  <a:pt x="51435" y="1285351"/>
                                </a:lnTo>
                                <a:lnTo>
                                  <a:pt x="24669" y="1267301"/>
                                </a:lnTo>
                                <a:lnTo>
                                  <a:pt x="6619" y="1240536"/>
                                </a:lnTo>
                                <a:lnTo>
                                  <a:pt x="0" y="1207770"/>
                                </a:lnTo>
                                <a:lnTo>
                                  <a:pt x="0" y="871220"/>
                                </a:lnTo>
                                <a:close/>
                              </a:path>
                              <a:path w="4288155" h="1292225">
                                <a:moveTo>
                                  <a:pt x="2621279" y="84200"/>
                                </a:moveTo>
                                <a:lnTo>
                                  <a:pt x="2627897" y="51434"/>
                                </a:lnTo>
                                <a:lnTo>
                                  <a:pt x="2645933" y="24669"/>
                                </a:lnTo>
                                <a:lnTo>
                                  <a:pt x="2672661" y="6619"/>
                                </a:lnTo>
                                <a:lnTo>
                                  <a:pt x="2705354" y="0"/>
                                </a:lnTo>
                                <a:lnTo>
                                  <a:pt x="4203954" y="0"/>
                                </a:lnTo>
                                <a:lnTo>
                                  <a:pt x="4236720" y="6619"/>
                                </a:lnTo>
                                <a:lnTo>
                                  <a:pt x="4263485" y="24669"/>
                                </a:lnTo>
                                <a:lnTo>
                                  <a:pt x="4281535" y="51434"/>
                                </a:lnTo>
                                <a:lnTo>
                                  <a:pt x="4288155" y="84200"/>
                                </a:lnTo>
                                <a:lnTo>
                                  <a:pt x="4288155" y="420750"/>
                                </a:lnTo>
                                <a:lnTo>
                                  <a:pt x="4281535" y="453497"/>
                                </a:lnTo>
                                <a:lnTo>
                                  <a:pt x="4263485" y="480218"/>
                                </a:lnTo>
                                <a:lnTo>
                                  <a:pt x="4236720" y="498224"/>
                                </a:lnTo>
                                <a:lnTo>
                                  <a:pt x="4203954" y="504825"/>
                                </a:lnTo>
                                <a:lnTo>
                                  <a:pt x="2705354" y="504825"/>
                                </a:lnTo>
                                <a:lnTo>
                                  <a:pt x="2672661" y="498224"/>
                                </a:lnTo>
                                <a:lnTo>
                                  <a:pt x="2645933" y="480218"/>
                                </a:lnTo>
                                <a:lnTo>
                                  <a:pt x="2627897" y="453497"/>
                                </a:lnTo>
                                <a:lnTo>
                                  <a:pt x="2621279" y="420750"/>
                                </a:lnTo>
                                <a:lnTo>
                                  <a:pt x="2621279" y="84200"/>
                                </a:lnTo>
                                <a:close/>
                              </a:path>
                            </a:pathLst>
                          </a:custGeom>
                          <a:ln w="12700">
                            <a:solidFill>
                              <a:srgbClr val="000000"/>
                            </a:solidFill>
                            <a:prstDash val="solid"/>
                          </a:ln>
                        </wps:spPr>
                        <wps:bodyPr wrap="square" lIns="0" tIns="0" rIns="0" bIns="0" rtlCol="0">
                          <a:prstTxWarp prst="textNoShape">
                            <a:avLst/>
                          </a:prstTxWarp>
                          <a:noAutofit/>
                        </wps:bodyPr>
                      </wps:wsp>
                      <wps:wsp>
                        <wps:cNvPr id="23" name="Graphic 23"/>
                        <wps:cNvSpPr/>
                        <wps:spPr>
                          <a:xfrm>
                            <a:off x="2052193" y="247141"/>
                            <a:ext cx="991869" cy="1699895"/>
                          </a:xfrm>
                          <a:custGeom>
                            <a:avLst/>
                            <a:gdLst/>
                            <a:ahLst/>
                            <a:cxnLst/>
                            <a:rect l="l" t="t" r="r" b="b"/>
                            <a:pathLst>
                              <a:path w="991869" h="1699895">
                                <a:moveTo>
                                  <a:pt x="979932" y="969010"/>
                                </a:moveTo>
                                <a:lnTo>
                                  <a:pt x="896239" y="984758"/>
                                </a:lnTo>
                                <a:lnTo>
                                  <a:pt x="917397" y="1012634"/>
                                </a:lnTo>
                                <a:lnTo>
                                  <a:pt x="21717" y="1694815"/>
                                </a:lnTo>
                                <a:lnTo>
                                  <a:pt x="25527" y="1699768"/>
                                </a:lnTo>
                                <a:lnTo>
                                  <a:pt x="921181" y="1017612"/>
                                </a:lnTo>
                                <a:lnTo>
                                  <a:pt x="942340" y="1045464"/>
                                </a:lnTo>
                                <a:lnTo>
                                  <a:pt x="962253" y="1004951"/>
                                </a:lnTo>
                                <a:lnTo>
                                  <a:pt x="979932" y="969010"/>
                                </a:lnTo>
                                <a:close/>
                              </a:path>
                              <a:path w="991869" h="1699895">
                                <a:moveTo>
                                  <a:pt x="988822" y="892810"/>
                                </a:moveTo>
                                <a:lnTo>
                                  <a:pt x="982472" y="889635"/>
                                </a:lnTo>
                                <a:lnTo>
                                  <a:pt x="912622" y="854710"/>
                                </a:lnTo>
                                <a:lnTo>
                                  <a:pt x="912622" y="889635"/>
                                </a:lnTo>
                                <a:lnTo>
                                  <a:pt x="20447" y="889635"/>
                                </a:lnTo>
                                <a:lnTo>
                                  <a:pt x="20447" y="895985"/>
                                </a:lnTo>
                                <a:lnTo>
                                  <a:pt x="912622" y="895985"/>
                                </a:lnTo>
                                <a:lnTo>
                                  <a:pt x="912622" y="930910"/>
                                </a:lnTo>
                                <a:lnTo>
                                  <a:pt x="982472" y="895985"/>
                                </a:lnTo>
                                <a:lnTo>
                                  <a:pt x="988822" y="892810"/>
                                </a:lnTo>
                                <a:close/>
                              </a:path>
                              <a:path w="991869" h="1699895">
                                <a:moveTo>
                                  <a:pt x="991362" y="831723"/>
                                </a:moveTo>
                                <a:lnTo>
                                  <a:pt x="974699" y="793369"/>
                                </a:lnTo>
                                <a:lnTo>
                                  <a:pt x="957453" y="753618"/>
                                </a:lnTo>
                                <a:lnTo>
                                  <a:pt x="934974" y="780351"/>
                                </a:lnTo>
                                <a:lnTo>
                                  <a:pt x="4064" y="0"/>
                                </a:lnTo>
                                <a:lnTo>
                                  <a:pt x="0" y="4826"/>
                                </a:lnTo>
                                <a:lnTo>
                                  <a:pt x="930910" y="785177"/>
                                </a:lnTo>
                                <a:lnTo>
                                  <a:pt x="908431" y="811911"/>
                                </a:lnTo>
                                <a:lnTo>
                                  <a:pt x="991362" y="831723"/>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3175" y="249554"/>
                            <a:ext cx="3943985" cy="2434590"/>
                          </a:xfrm>
                          <a:custGeom>
                            <a:avLst/>
                            <a:gdLst/>
                            <a:ahLst/>
                            <a:cxnLst/>
                            <a:rect l="l" t="t" r="r" b="b"/>
                            <a:pathLst>
                              <a:path w="3943985" h="2434590">
                                <a:moveTo>
                                  <a:pt x="0" y="0"/>
                                </a:moveTo>
                                <a:lnTo>
                                  <a:pt x="0" y="1594485"/>
                                </a:lnTo>
                              </a:path>
                              <a:path w="3943985" h="2434590">
                                <a:moveTo>
                                  <a:pt x="0" y="0"/>
                                </a:moveTo>
                                <a:lnTo>
                                  <a:pt x="393065" y="0"/>
                                </a:lnTo>
                              </a:path>
                              <a:path w="3943985" h="2434590">
                                <a:moveTo>
                                  <a:pt x="11430" y="893572"/>
                                </a:moveTo>
                                <a:lnTo>
                                  <a:pt x="404495" y="893572"/>
                                </a:lnTo>
                              </a:path>
                              <a:path w="3943985" h="2434590">
                                <a:moveTo>
                                  <a:pt x="0" y="1695196"/>
                                </a:moveTo>
                                <a:lnTo>
                                  <a:pt x="393065" y="1695196"/>
                                </a:lnTo>
                              </a:path>
                              <a:path w="3943985" h="2434590">
                                <a:moveTo>
                                  <a:pt x="0" y="2423795"/>
                                </a:moveTo>
                                <a:lnTo>
                                  <a:pt x="3943985" y="2434590"/>
                                </a:lnTo>
                              </a:path>
                              <a:path w="3943985" h="2434590">
                                <a:moveTo>
                                  <a:pt x="0" y="1488313"/>
                                </a:moveTo>
                                <a:lnTo>
                                  <a:pt x="0" y="2412873"/>
                                </a:lnTo>
                              </a:path>
                            </a:pathLst>
                          </a:custGeom>
                          <a:ln w="6350">
                            <a:solidFill>
                              <a:srgbClr val="000000"/>
                            </a:solidFill>
                            <a:prstDash val="solid"/>
                          </a:ln>
                        </wps:spPr>
                        <wps:bodyPr wrap="square" lIns="0" tIns="0" rIns="0" bIns="0" rtlCol="0">
                          <a:prstTxWarp prst="textNoShape">
                            <a:avLst/>
                          </a:prstTxWarp>
                          <a:noAutofit/>
                        </wps:bodyPr>
                      </wps:wsp>
                      <wps:wsp>
                        <wps:cNvPr id="25" name="Graphic 25"/>
                        <wps:cNvSpPr/>
                        <wps:spPr>
                          <a:xfrm>
                            <a:off x="3908425" y="1381125"/>
                            <a:ext cx="76200" cy="1302385"/>
                          </a:xfrm>
                          <a:custGeom>
                            <a:avLst/>
                            <a:gdLst/>
                            <a:ahLst/>
                            <a:cxnLst/>
                            <a:rect l="l" t="t" r="r" b="b"/>
                            <a:pathLst>
                              <a:path w="76200" h="1302385">
                                <a:moveTo>
                                  <a:pt x="41275" y="63500"/>
                                </a:moveTo>
                                <a:lnTo>
                                  <a:pt x="34925" y="63500"/>
                                </a:lnTo>
                                <a:lnTo>
                                  <a:pt x="34925" y="1302385"/>
                                </a:lnTo>
                                <a:lnTo>
                                  <a:pt x="41275" y="1302385"/>
                                </a:lnTo>
                                <a:lnTo>
                                  <a:pt x="41275" y="63500"/>
                                </a:lnTo>
                                <a:close/>
                              </a:path>
                              <a:path w="76200" h="1302385">
                                <a:moveTo>
                                  <a:pt x="38100" y="0"/>
                                </a:moveTo>
                                <a:lnTo>
                                  <a:pt x="0" y="76200"/>
                                </a:lnTo>
                                <a:lnTo>
                                  <a:pt x="34925" y="76200"/>
                                </a:lnTo>
                                <a:lnTo>
                                  <a:pt x="34925" y="63500"/>
                                </a:lnTo>
                                <a:lnTo>
                                  <a:pt x="69850" y="63500"/>
                                </a:lnTo>
                                <a:lnTo>
                                  <a:pt x="38100" y="0"/>
                                </a:lnTo>
                                <a:close/>
                              </a:path>
                              <a:path w="76200" h="1302385">
                                <a:moveTo>
                                  <a:pt x="69850" y="63500"/>
                                </a:moveTo>
                                <a:lnTo>
                                  <a:pt x="41275" y="63500"/>
                                </a:lnTo>
                                <a:lnTo>
                                  <a:pt x="41275" y="76200"/>
                                </a:lnTo>
                                <a:lnTo>
                                  <a:pt x="76200" y="76200"/>
                                </a:lnTo>
                                <a:lnTo>
                                  <a:pt x="69850" y="63500"/>
                                </a:lnTo>
                                <a:close/>
                              </a:path>
                            </a:pathLst>
                          </a:custGeom>
                          <a:solidFill>
                            <a:srgbClr val="000000"/>
                          </a:solidFill>
                        </wps:spPr>
                        <wps:bodyPr wrap="square" lIns="0" tIns="0" rIns="0" bIns="0" rtlCol="0">
                          <a:prstTxWarp prst="textNoShape">
                            <a:avLst/>
                          </a:prstTxWarp>
                          <a:noAutofit/>
                        </wps:bodyPr>
                      </wps:wsp>
                      <wps:wsp>
                        <wps:cNvPr id="26" name="Textbox 26"/>
                        <wps:cNvSpPr txBox="1"/>
                        <wps:spPr>
                          <a:xfrm>
                            <a:off x="590423" y="111760"/>
                            <a:ext cx="1276350" cy="326390"/>
                          </a:xfrm>
                          <a:prstGeom prst="rect">
                            <a:avLst/>
                          </a:prstGeom>
                        </wps:spPr>
                        <wps:txbx>
                          <w:txbxContent>
                            <w:p>
                              <w:pPr>
                                <w:spacing w:line="225" w:lineRule="exact" w:before="0"/>
                                <w:ind w:left="-1" w:right="18" w:firstLine="0"/>
                                <w:jc w:val="center"/>
                                <w:rPr>
                                  <w:rFonts w:ascii="Calibri"/>
                                  <w:sz w:val="22"/>
                                </w:rPr>
                              </w:pPr>
                              <w:r>
                                <w:rPr>
                                  <w:rFonts w:ascii="Calibri"/>
                                  <w:spacing w:val="-2"/>
                                  <w:sz w:val="22"/>
                                </w:rPr>
                                <w:t>Pengetahuan</w:t>
                              </w:r>
                              <w:r>
                                <w:rPr>
                                  <w:rFonts w:ascii="Calibri"/>
                                  <w:sz w:val="22"/>
                                </w:rPr>
                                <w:t> </w:t>
                              </w:r>
                              <w:r>
                                <w:rPr>
                                  <w:rFonts w:ascii="Calibri"/>
                                  <w:spacing w:val="-2"/>
                                  <w:sz w:val="22"/>
                                </w:rPr>
                                <w:t>Investasi</w:t>
                              </w:r>
                            </w:p>
                            <w:p>
                              <w:pPr>
                                <w:spacing w:line="265" w:lineRule="exact" w:before="24"/>
                                <w:ind w:left="2" w:right="18" w:firstLine="0"/>
                                <w:jc w:val="center"/>
                                <w:rPr>
                                  <w:rFonts w:ascii="Calibri"/>
                                  <w:sz w:val="22"/>
                                </w:rPr>
                              </w:pPr>
                              <w:r>
                                <w:rPr>
                                  <w:rFonts w:ascii="Calibri"/>
                                  <w:spacing w:val="-4"/>
                                  <w:sz w:val="22"/>
                                </w:rPr>
                                <w:t>(X1)</w:t>
                              </w:r>
                            </w:p>
                          </w:txbxContent>
                        </wps:txbx>
                        <wps:bodyPr wrap="square" lIns="0" tIns="0" rIns="0" bIns="0" rtlCol="0">
                          <a:noAutofit/>
                        </wps:bodyPr>
                      </wps:wsp>
                      <wps:wsp>
                        <wps:cNvPr id="27" name="Textbox 27"/>
                        <wps:cNvSpPr txBox="1"/>
                        <wps:spPr>
                          <a:xfrm>
                            <a:off x="584326" y="983488"/>
                            <a:ext cx="1310005" cy="326390"/>
                          </a:xfrm>
                          <a:prstGeom prst="rect">
                            <a:avLst/>
                          </a:prstGeom>
                        </wps:spPr>
                        <wps:txbx>
                          <w:txbxContent>
                            <w:p>
                              <w:pPr>
                                <w:spacing w:line="225" w:lineRule="exact" w:before="0"/>
                                <w:ind w:left="0" w:right="18" w:firstLine="0"/>
                                <w:jc w:val="center"/>
                                <w:rPr>
                                  <w:rFonts w:ascii="Calibri"/>
                                  <w:sz w:val="22"/>
                                </w:rPr>
                              </w:pPr>
                              <w:r>
                                <w:rPr>
                                  <w:rFonts w:ascii="Calibri"/>
                                  <w:sz w:val="22"/>
                                </w:rPr>
                                <w:t>Fasilitas</w:t>
                              </w:r>
                              <w:r>
                                <w:rPr>
                                  <w:rFonts w:ascii="Calibri"/>
                                  <w:spacing w:val="-11"/>
                                  <w:sz w:val="22"/>
                                </w:rPr>
                                <w:t> </w:t>
                              </w:r>
                              <w:r>
                                <w:rPr>
                                  <w:rFonts w:ascii="Calibri"/>
                                  <w:sz w:val="22"/>
                                </w:rPr>
                                <w:t>Online</w:t>
                              </w:r>
                              <w:r>
                                <w:rPr>
                                  <w:rFonts w:ascii="Calibri"/>
                                  <w:spacing w:val="-11"/>
                                  <w:sz w:val="22"/>
                                </w:rPr>
                                <w:t> </w:t>
                              </w:r>
                              <w:r>
                                <w:rPr>
                                  <w:rFonts w:ascii="Calibri"/>
                                  <w:spacing w:val="-2"/>
                                  <w:sz w:val="22"/>
                                </w:rPr>
                                <w:t>Trading</w:t>
                              </w:r>
                            </w:p>
                            <w:p>
                              <w:pPr>
                                <w:spacing w:line="265" w:lineRule="exact" w:before="24"/>
                                <w:ind w:left="0" w:right="20" w:firstLine="0"/>
                                <w:jc w:val="center"/>
                                <w:rPr>
                                  <w:rFonts w:ascii="Calibri"/>
                                  <w:sz w:val="22"/>
                                </w:rPr>
                              </w:pPr>
                              <w:r>
                                <w:rPr>
                                  <w:rFonts w:ascii="Calibri"/>
                                  <w:spacing w:val="-4"/>
                                  <w:sz w:val="22"/>
                                </w:rPr>
                                <w:t>(X2)</w:t>
                              </w:r>
                            </w:p>
                          </w:txbxContent>
                        </wps:txbx>
                        <wps:bodyPr wrap="square" lIns="0" tIns="0" rIns="0" bIns="0" rtlCol="0">
                          <a:noAutofit/>
                        </wps:bodyPr>
                      </wps:wsp>
                      <wps:wsp>
                        <wps:cNvPr id="28" name="Textbox 28"/>
                        <wps:cNvSpPr txBox="1"/>
                        <wps:spPr>
                          <a:xfrm>
                            <a:off x="3450335" y="986536"/>
                            <a:ext cx="871219" cy="326390"/>
                          </a:xfrm>
                          <a:prstGeom prst="rect">
                            <a:avLst/>
                          </a:prstGeom>
                        </wps:spPr>
                        <wps:txbx>
                          <w:txbxContent>
                            <w:p>
                              <w:pPr>
                                <w:spacing w:line="225" w:lineRule="exact" w:before="0"/>
                                <w:ind w:left="0" w:right="18" w:firstLine="0"/>
                                <w:jc w:val="center"/>
                                <w:rPr>
                                  <w:rFonts w:ascii="Calibri"/>
                                  <w:sz w:val="22"/>
                                </w:rPr>
                              </w:pPr>
                              <w:r>
                                <w:rPr>
                                  <w:rFonts w:ascii="Calibri"/>
                                  <w:sz w:val="22"/>
                                </w:rPr>
                                <w:t>Minat</w:t>
                              </w:r>
                              <w:r>
                                <w:rPr>
                                  <w:rFonts w:ascii="Calibri"/>
                                  <w:spacing w:val="-7"/>
                                  <w:sz w:val="22"/>
                                </w:rPr>
                                <w:t> </w:t>
                              </w:r>
                              <w:r>
                                <w:rPr>
                                  <w:rFonts w:ascii="Calibri"/>
                                  <w:spacing w:val="-2"/>
                                  <w:sz w:val="22"/>
                                </w:rPr>
                                <w:t>Investasi</w:t>
                              </w:r>
                            </w:p>
                            <w:p>
                              <w:pPr>
                                <w:spacing w:line="265" w:lineRule="exact" w:before="24"/>
                                <w:ind w:left="0" w:right="62" w:firstLine="0"/>
                                <w:jc w:val="center"/>
                                <w:rPr>
                                  <w:rFonts w:ascii="Calibri"/>
                                  <w:sz w:val="22"/>
                                </w:rPr>
                              </w:pPr>
                              <w:r>
                                <w:rPr>
                                  <w:rFonts w:ascii="Calibri"/>
                                  <w:spacing w:val="-5"/>
                                  <w:sz w:val="22"/>
                                </w:rPr>
                                <w:t>(Y)</w:t>
                              </w:r>
                            </w:p>
                          </w:txbxContent>
                        </wps:txbx>
                        <wps:bodyPr wrap="square" lIns="0" tIns="0" rIns="0" bIns="0" rtlCol="0">
                          <a:noAutofit/>
                        </wps:bodyPr>
                      </wps:wsp>
                      <wps:wsp>
                        <wps:cNvPr id="29" name="Textbox 29"/>
                        <wps:cNvSpPr txBox="1"/>
                        <wps:spPr>
                          <a:xfrm>
                            <a:off x="806830" y="1773173"/>
                            <a:ext cx="880110" cy="329565"/>
                          </a:xfrm>
                          <a:prstGeom prst="rect">
                            <a:avLst/>
                          </a:prstGeom>
                        </wps:spPr>
                        <wps:txbx>
                          <w:txbxContent>
                            <w:p>
                              <w:pPr>
                                <w:spacing w:line="225" w:lineRule="exact" w:before="0"/>
                                <w:ind w:left="0" w:right="18" w:firstLine="0"/>
                                <w:jc w:val="center"/>
                                <w:rPr>
                                  <w:rFonts w:ascii="Calibri"/>
                                  <w:sz w:val="22"/>
                                </w:rPr>
                              </w:pPr>
                              <w:r>
                                <w:rPr>
                                  <w:rFonts w:ascii="Calibri"/>
                                  <w:sz w:val="22"/>
                                </w:rPr>
                                <w:t>Modal</w:t>
                              </w:r>
                              <w:r>
                                <w:rPr>
                                  <w:rFonts w:ascii="Calibri"/>
                                  <w:spacing w:val="-6"/>
                                  <w:sz w:val="22"/>
                                </w:rPr>
                                <w:t> </w:t>
                              </w:r>
                              <w:r>
                                <w:rPr>
                                  <w:rFonts w:ascii="Calibri"/>
                                  <w:spacing w:val="-2"/>
                                  <w:sz w:val="22"/>
                                </w:rPr>
                                <w:t>Minimal</w:t>
                              </w:r>
                            </w:p>
                            <w:p>
                              <w:pPr>
                                <w:spacing w:line="265" w:lineRule="exact" w:before="29"/>
                                <w:ind w:left="0" w:right="15" w:firstLine="0"/>
                                <w:jc w:val="center"/>
                                <w:rPr>
                                  <w:rFonts w:ascii="Calibri"/>
                                  <w:sz w:val="22"/>
                                </w:rPr>
                              </w:pPr>
                              <w:r>
                                <w:rPr>
                                  <w:rFonts w:ascii="Calibri"/>
                                  <w:spacing w:val="-4"/>
                                  <w:sz w:val="22"/>
                                </w:rPr>
                                <w:t>(X3)</w:t>
                              </w:r>
                            </w:p>
                          </w:txbxContent>
                        </wps:txbx>
                        <wps:bodyPr wrap="square" lIns="0" tIns="0" rIns="0" bIns="0" rtlCol="0">
                          <a:noAutofit/>
                        </wps:bodyPr>
                      </wps:wsp>
                    </wpg:wgp>
                  </a:graphicData>
                </a:graphic>
              </wp:inline>
            </w:drawing>
          </mc:Choice>
          <mc:Fallback>
            <w:pict>
              <v:group style="width:370.35pt;height:211.6pt;mso-position-horizontal-relative:char;mso-position-vertical-relative:line" id="docshapegroup6" coordorigin="0,0" coordsize="7407,4232">
                <v:shape style="position:absolute;left:621;top:10;width:2624;height:2138" id="docshape7" coordorigin="621,10" coordsize="2624,2138" path="m621,137l631,88,658,47,699,20,748,10,3103,10,3153,20,3194,47,3221,88,3231,137,3231,647,3221,697,3194,738,3153,765,3103,775,748,775,699,765,658,738,631,697,621,647,621,137xm635,1510l645,1460,672,1420,713,1392,762,1382,3117,1382,3167,1392,3208,1420,3235,1460,3245,1510,3245,2020,3235,2069,3208,2110,3167,2137,3117,2147,762,2147,713,2137,672,2110,645,2069,635,2020,635,1510xe" filled="false" stroked="true" strokeweight="1pt" strokecolor="#000000">
                  <v:path arrowok="t"/>
                  <v:stroke dashstyle="solid"/>
                </v:shape>
                <v:shape style="position:absolute;left:644;top:2624;width:2625;height:795" id="docshape8" coordorigin="644,2625" coordsize="2625,795" path="m3136,2625l777,2625,725,2635,683,2664,654,2706,644,2757,644,3287,654,3339,683,3381,725,3409,777,3420,3136,3420,3188,3409,3230,3381,3259,3339,3269,3287,3269,2757,3259,2706,3230,2664,3188,2635,3136,2625xe" filled="true" fillcolor="#ffffff" stroked="false">
                  <v:path arrowok="t"/>
                  <v:fill type="solid"/>
                </v:shape>
                <v:shape style="position:absolute;left:644;top:1385;width:6753;height:2035" id="docshape9" coordorigin="644,1385" coordsize="6753,2035" path="m644,2757l654,2706,683,2664,725,2635,777,2625,3136,2625,3188,2635,3230,2664,3259,2706,3269,2757,3269,3287,3259,3339,3230,3381,3188,3409,3136,3420,777,3420,725,3409,683,3381,654,3339,644,3287,644,2757xm4772,1518l4782,1466,4811,1424,4853,1396,4904,1385,7264,1385,7316,1396,7358,1424,7387,1466,7397,1518,7397,2048,7387,2099,7358,2141,7316,2170,7264,2180,4904,2180,4853,2170,4811,2141,4782,2099,4772,2048,4772,1518xe" filled="false" stroked="true" strokeweight="1pt" strokecolor="#000000">
                  <v:path arrowok="t"/>
                  <v:stroke dashstyle="solid"/>
                </v:shape>
                <v:shape style="position:absolute;left:3231;top:389;width:1562;height:2677" id="docshape10" coordorigin="3232,389" coordsize="1562,2677" path="m4775,1915l4643,1940,4677,1984,3266,3058,3272,3066,4682,1992,4716,2036,4747,1972,4775,1915xm4789,1795l4779,1790,4669,1735,4669,1790,3264,1790,3264,1800,4669,1800,4669,1855,4779,1800,4789,1795xm4793,1699l4767,1639,4740,1576,4704,1618,3238,389,3232,397,4698,1626,4662,1668,4793,1699xe" filled="true" fillcolor="#000000" stroked="false">
                  <v:path arrowok="t"/>
                  <v:fill type="solid"/>
                </v:shape>
                <v:shape style="position:absolute;left:5;top:393;width:6211;height:3834" id="docshape11" coordorigin="5,393" coordsize="6211,3834" path="m5,393l5,2904m5,393l624,393m23,1800l642,1800m5,3063l624,3063m5,4210l6216,4227m5,2737l5,4193e" filled="false" stroked="true" strokeweight=".5pt" strokecolor="#000000">
                  <v:path arrowok="t"/>
                  <v:stroke dashstyle="solid"/>
                </v:shape>
                <v:shape style="position:absolute;left:6155;top:2175;width:120;height:2051" id="docshape12" coordorigin="6155,2175" coordsize="120,2051" path="m6220,2275l6210,2275,6210,4226,6220,4226,6220,2275xm6215,2175l6155,2295,6210,2295,6210,2275,6265,2275,6215,2175xm6265,2275l6220,2275,6220,2295,6275,2295,6265,2275xe" filled="true" fillcolor="#000000" stroked="false">
                  <v:path arrowok="t"/>
                  <v:fill type="solid"/>
                </v:shape>
                <v:shape style="position:absolute;left:929;top:176;width:2010;height:514" type="#_x0000_t202" id="docshape13" filled="false" stroked="false">
                  <v:textbox inset="0,0,0,0">
                    <w:txbxContent>
                      <w:p>
                        <w:pPr>
                          <w:spacing w:line="225" w:lineRule="exact" w:before="0"/>
                          <w:ind w:left="-1" w:right="18" w:firstLine="0"/>
                          <w:jc w:val="center"/>
                          <w:rPr>
                            <w:rFonts w:ascii="Calibri"/>
                            <w:sz w:val="22"/>
                          </w:rPr>
                        </w:pPr>
                        <w:r>
                          <w:rPr>
                            <w:rFonts w:ascii="Calibri"/>
                            <w:spacing w:val="-2"/>
                            <w:sz w:val="22"/>
                          </w:rPr>
                          <w:t>Pengetahuan</w:t>
                        </w:r>
                        <w:r>
                          <w:rPr>
                            <w:rFonts w:ascii="Calibri"/>
                            <w:sz w:val="22"/>
                          </w:rPr>
                          <w:t> </w:t>
                        </w:r>
                        <w:r>
                          <w:rPr>
                            <w:rFonts w:ascii="Calibri"/>
                            <w:spacing w:val="-2"/>
                            <w:sz w:val="22"/>
                          </w:rPr>
                          <w:t>Investasi</w:t>
                        </w:r>
                      </w:p>
                      <w:p>
                        <w:pPr>
                          <w:spacing w:line="265" w:lineRule="exact" w:before="24"/>
                          <w:ind w:left="2" w:right="18" w:firstLine="0"/>
                          <w:jc w:val="center"/>
                          <w:rPr>
                            <w:rFonts w:ascii="Calibri"/>
                            <w:sz w:val="22"/>
                          </w:rPr>
                        </w:pPr>
                        <w:r>
                          <w:rPr>
                            <w:rFonts w:ascii="Calibri"/>
                            <w:spacing w:val="-4"/>
                            <w:sz w:val="22"/>
                          </w:rPr>
                          <w:t>(X1)</w:t>
                        </w:r>
                      </w:p>
                    </w:txbxContent>
                  </v:textbox>
                  <w10:wrap type="none"/>
                </v:shape>
                <v:shape style="position:absolute;left:920;top:1548;width:2063;height:514" type="#_x0000_t202" id="docshape14" filled="false" stroked="false">
                  <v:textbox inset="0,0,0,0">
                    <w:txbxContent>
                      <w:p>
                        <w:pPr>
                          <w:spacing w:line="225" w:lineRule="exact" w:before="0"/>
                          <w:ind w:left="0" w:right="18" w:firstLine="0"/>
                          <w:jc w:val="center"/>
                          <w:rPr>
                            <w:rFonts w:ascii="Calibri"/>
                            <w:sz w:val="22"/>
                          </w:rPr>
                        </w:pPr>
                        <w:r>
                          <w:rPr>
                            <w:rFonts w:ascii="Calibri"/>
                            <w:sz w:val="22"/>
                          </w:rPr>
                          <w:t>Fasilitas</w:t>
                        </w:r>
                        <w:r>
                          <w:rPr>
                            <w:rFonts w:ascii="Calibri"/>
                            <w:spacing w:val="-11"/>
                            <w:sz w:val="22"/>
                          </w:rPr>
                          <w:t> </w:t>
                        </w:r>
                        <w:r>
                          <w:rPr>
                            <w:rFonts w:ascii="Calibri"/>
                            <w:sz w:val="22"/>
                          </w:rPr>
                          <w:t>Online</w:t>
                        </w:r>
                        <w:r>
                          <w:rPr>
                            <w:rFonts w:ascii="Calibri"/>
                            <w:spacing w:val="-11"/>
                            <w:sz w:val="22"/>
                          </w:rPr>
                          <w:t> </w:t>
                        </w:r>
                        <w:r>
                          <w:rPr>
                            <w:rFonts w:ascii="Calibri"/>
                            <w:spacing w:val="-2"/>
                            <w:sz w:val="22"/>
                          </w:rPr>
                          <w:t>Trading</w:t>
                        </w:r>
                      </w:p>
                      <w:p>
                        <w:pPr>
                          <w:spacing w:line="265" w:lineRule="exact" w:before="24"/>
                          <w:ind w:left="0" w:right="20" w:firstLine="0"/>
                          <w:jc w:val="center"/>
                          <w:rPr>
                            <w:rFonts w:ascii="Calibri"/>
                            <w:sz w:val="22"/>
                          </w:rPr>
                        </w:pPr>
                        <w:r>
                          <w:rPr>
                            <w:rFonts w:ascii="Calibri"/>
                            <w:spacing w:val="-4"/>
                            <w:sz w:val="22"/>
                          </w:rPr>
                          <w:t>(X2)</w:t>
                        </w:r>
                      </w:p>
                    </w:txbxContent>
                  </v:textbox>
                  <w10:wrap type="none"/>
                </v:shape>
                <v:shape style="position:absolute;left:5433;top:1553;width:1372;height:514" type="#_x0000_t202" id="docshape15" filled="false" stroked="false">
                  <v:textbox inset="0,0,0,0">
                    <w:txbxContent>
                      <w:p>
                        <w:pPr>
                          <w:spacing w:line="225" w:lineRule="exact" w:before="0"/>
                          <w:ind w:left="0" w:right="18" w:firstLine="0"/>
                          <w:jc w:val="center"/>
                          <w:rPr>
                            <w:rFonts w:ascii="Calibri"/>
                            <w:sz w:val="22"/>
                          </w:rPr>
                        </w:pPr>
                        <w:r>
                          <w:rPr>
                            <w:rFonts w:ascii="Calibri"/>
                            <w:sz w:val="22"/>
                          </w:rPr>
                          <w:t>Minat</w:t>
                        </w:r>
                        <w:r>
                          <w:rPr>
                            <w:rFonts w:ascii="Calibri"/>
                            <w:spacing w:val="-7"/>
                            <w:sz w:val="22"/>
                          </w:rPr>
                          <w:t> </w:t>
                        </w:r>
                        <w:r>
                          <w:rPr>
                            <w:rFonts w:ascii="Calibri"/>
                            <w:spacing w:val="-2"/>
                            <w:sz w:val="22"/>
                          </w:rPr>
                          <w:t>Investasi</w:t>
                        </w:r>
                      </w:p>
                      <w:p>
                        <w:pPr>
                          <w:spacing w:line="265" w:lineRule="exact" w:before="24"/>
                          <w:ind w:left="0" w:right="62" w:firstLine="0"/>
                          <w:jc w:val="center"/>
                          <w:rPr>
                            <w:rFonts w:ascii="Calibri"/>
                            <w:sz w:val="22"/>
                          </w:rPr>
                        </w:pPr>
                        <w:r>
                          <w:rPr>
                            <w:rFonts w:ascii="Calibri"/>
                            <w:spacing w:val="-5"/>
                            <w:sz w:val="22"/>
                          </w:rPr>
                          <w:t>(Y)</w:t>
                        </w:r>
                      </w:p>
                    </w:txbxContent>
                  </v:textbox>
                  <w10:wrap type="none"/>
                </v:shape>
                <v:shape style="position:absolute;left:1270;top:2792;width:1386;height:519" type="#_x0000_t202" id="docshape16" filled="false" stroked="false">
                  <v:textbox inset="0,0,0,0">
                    <w:txbxContent>
                      <w:p>
                        <w:pPr>
                          <w:spacing w:line="225" w:lineRule="exact" w:before="0"/>
                          <w:ind w:left="0" w:right="18" w:firstLine="0"/>
                          <w:jc w:val="center"/>
                          <w:rPr>
                            <w:rFonts w:ascii="Calibri"/>
                            <w:sz w:val="22"/>
                          </w:rPr>
                        </w:pPr>
                        <w:r>
                          <w:rPr>
                            <w:rFonts w:ascii="Calibri"/>
                            <w:sz w:val="22"/>
                          </w:rPr>
                          <w:t>Modal</w:t>
                        </w:r>
                        <w:r>
                          <w:rPr>
                            <w:rFonts w:ascii="Calibri"/>
                            <w:spacing w:val="-6"/>
                            <w:sz w:val="22"/>
                          </w:rPr>
                          <w:t> </w:t>
                        </w:r>
                        <w:r>
                          <w:rPr>
                            <w:rFonts w:ascii="Calibri"/>
                            <w:spacing w:val="-2"/>
                            <w:sz w:val="22"/>
                          </w:rPr>
                          <w:t>Minimal</w:t>
                        </w:r>
                      </w:p>
                      <w:p>
                        <w:pPr>
                          <w:spacing w:line="265" w:lineRule="exact" w:before="29"/>
                          <w:ind w:left="0" w:right="15" w:firstLine="0"/>
                          <w:jc w:val="center"/>
                          <w:rPr>
                            <w:rFonts w:ascii="Calibri"/>
                            <w:sz w:val="22"/>
                          </w:rPr>
                        </w:pPr>
                        <w:r>
                          <w:rPr>
                            <w:rFonts w:ascii="Calibri"/>
                            <w:spacing w:val="-4"/>
                            <w:sz w:val="22"/>
                          </w:rPr>
                          <w:t>(X3)</w:t>
                        </w:r>
                      </w:p>
                    </w:txbxContent>
                  </v:textbox>
                  <w10:wrap type="none"/>
                </v:shape>
              </v:group>
            </w:pict>
          </mc:Fallback>
        </mc:AlternateContent>
      </w:r>
      <w:r>
        <w:rPr>
          <w:sz w:val="20"/>
        </w:rPr>
      </w:r>
    </w:p>
    <w:p>
      <w:pPr>
        <w:pStyle w:val="BodyText"/>
        <w:spacing w:line="480" w:lineRule="auto" w:before="274"/>
        <w:ind w:right="144" w:firstLine="682"/>
      </w:pPr>
      <w:r>
        <w:rPr/>
        <w:drawing>
          <wp:anchor distT="0" distB="0" distL="0" distR="0" allowOverlap="1" layoutInCell="1" locked="0" behindDoc="1" simplePos="0" relativeHeight="487406080">
            <wp:simplePos x="0" y="0"/>
            <wp:positionH relativeFrom="page">
              <wp:posOffset>1456944</wp:posOffset>
            </wp:positionH>
            <wp:positionV relativeFrom="paragraph">
              <wp:posOffset>-1175892</wp:posOffset>
            </wp:positionV>
            <wp:extent cx="4667249" cy="4591049"/>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5" cstate="print"/>
                    <a:stretch>
                      <a:fillRect/>
                    </a:stretch>
                  </pic:blipFill>
                  <pic:spPr>
                    <a:xfrm>
                      <a:off x="0" y="0"/>
                      <a:ext cx="4667249" cy="4591049"/>
                    </a:xfrm>
                    <a:prstGeom prst="rect">
                      <a:avLst/>
                    </a:prstGeom>
                  </pic:spPr>
                </pic:pic>
              </a:graphicData>
            </a:graphic>
          </wp:anchor>
        </w:drawing>
      </w:r>
      <w:r>
        <w:rPr/>
        <w:t>Kerangka konseptual pada penelitian ini disusun untuk menunjukkan hubungan</w:t>
      </w:r>
      <w:r>
        <w:rPr>
          <w:spacing w:val="-13"/>
        </w:rPr>
        <w:t> </w:t>
      </w:r>
      <w:r>
        <w:rPr/>
        <w:t>antara</w:t>
      </w:r>
      <w:r>
        <w:rPr>
          <w:spacing w:val="-9"/>
        </w:rPr>
        <w:t> </w:t>
      </w:r>
      <w:r>
        <w:rPr/>
        <w:t>variabel</w:t>
      </w:r>
      <w:r>
        <w:rPr>
          <w:spacing w:val="-11"/>
        </w:rPr>
        <w:t> </w:t>
      </w:r>
      <w:r>
        <w:rPr/>
        <w:t>bebas,</w:t>
      </w:r>
      <w:r>
        <w:rPr>
          <w:spacing w:val="-1"/>
        </w:rPr>
        <w:t> </w:t>
      </w:r>
      <w:r>
        <w:rPr/>
        <w:t>yaitu</w:t>
      </w:r>
      <w:r>
        <w:rPr>
          <w:spacing w:val="-8"/>
        </w:rPr>
        <w:t> </w:t>
      </w:r>
      <w:r>
        <w:rPr/>
        <w:t>Pengetahuan</w:t>
      </w:r>
      <w:r>
        <w:rPr>
          <w:spacing w:val="-8"/>
        </w:rPr>
        <w:t> </w:t>
      </w:r>
      <w:r>
        <w:rPr/>
        <w:t>Investasi</w:t>
      </w:r>
      <w:r>
        <w:rPr>
          <w:spacing w:val="-15"/>
        </w:rPr>
        <w:t> </w:t>
      </w:r>
      <w:r>
        <w:rPr/>
        <w:t>(X1),</w:t>
      </w:r>
      <w:r>
        <w:rPr>
          <w:spacing w:val="-6"/>
        </w:rPr>
        <w:t> </w:t>
      </w:r>
      <w:r>
        <w:rPr/>
        <w:t>Fasilitas</w:t>
      </w:r>
      <w:r>
        <w:rPr>
          <w:spacing w:val="-10"/>
        </w:rPr>
        <w:t> </w:t>
      </w:r>
      <w:r>
        <w:rPr/>
        <w:t>Online Trading (X2), serta Modal Minimal (X3), dengan variabel terikat yakni Minat Investasi (Y) pada mahasiswa Universitas Muslim Nusantara</w:t>
      </w:r>
      <w:r>
        <w:rPr>
          <w:spacing w:val="-1"/>
        </w:rPr>
        <w:t> </w:t>
      </w:r>
      <w:r>
        <w:rPr/>
        <w:t>Al Washliyah.</w:t>
      </w:r>
    </w:p>
    <w:p>
      <w:pPr>
        <w:pStyle w:val="ListParagraph"/>
        <w:numPr>
          <w:ilvl w:val="0"/>
          <w:numId w:val="2"/>
        </w:numPr>
        <w:tabs>
          <w:tab w:pos="1286" w:val="left" w:leader="none"/>
        </w:tabs>
        <w:spacing w:line="240" w:lineRule="auto" w:before="164" w:after="0"/>
        <w:ind w:left="1286" w:right="0" w:hanging="360"/>
        <w:jc w:val="both"/>
        <w:rPr>
          <w:sz w:val="24"/>
        </w:rPr>
      </w:pPr>
      <w:r>
        <w:rPr>
          <w:sz w:val="24"/>
        </w:rPr>
        <w:t>Pengetahuan</w:t>
      </w:r>
      <w:r>
        <w:rPr>
          <w:spacing w:val="-7"/>
          <w:sz w:val="24"/>
        </w:rPr>
        <w:t> </w:t>
      </w:r>
      <w:r>
        <w:rPr>
          <w:sz w:val="24"/>
        </w:rPr>
        <w:t>Investasi</w:t>
      </w:r>
      <w:r>
        <w:rPr>
          <w:spacing w:val="-7"/>
          <w:sz w:val="24"/>
        </w:rPr>
        <w:t> </w:t>
      </w:r>
      <w:r>
        <w:rPr>
          <w:spacing w:val="-4"/>
          <w:sz w:val="24"/>
        </w:rPr>
        <w:t>(X1)</w:t>
      </w:r>
    </w:p>
    <w:p>
      <w:pPr>
        <w:pStyle w:val="BodyText"/>
        <w:spacing w:before="0"/>
        <w:ind w:left="0"/>
        <w:jc w:val="left"/>
      </w:pPr>
    </w:p>
    <w:p>
      <w:pPr>
        <w:pStyle w:val="BodyText"/>
        <w:spacing w:line="480" w:lineRule="auto" w:before="0"/>
        <w:ind w:left="1287" w:right="139"/>
      </w:pPr>
      <w:r>
        <w:rPr/>
        <w:t>Pengetahuan investasi menjadi salah satu faktor yang berperan dalam memengaruhi seseorang saat mengambil keputusan untuk berinvestasi. Mahasiswa yang memahami instrumen investasi, potensi risiko dan peluang, serta strategi yang dapat digunakan, umumnya memiliki tingkat kepercayaan diri yang lebih tinggi dan lebih tertarik untuk memulai investasi. Dengan demikian, semakin baik tingkat pengetahuan investasi yang dimiliki, maka semakin besar pula minat mahasiswa untuk </w:t>
      </w:r>
      <w:r>
        <w:rPr>
          <w:spacing w:val="-2"/>
        </w:rPr>
        <w:t>berinvestasi.</w:t>
      </w:r>
    </w:p>
    <w:p>
      <w:pPr>
        <w:pStyle w:val="ListParagraph"/>
        <w:numPr>
          <w:ilvl w:val="0"/>
          <w:numId w:val="2"/>
        </w:numPr>
        <w:tabs>
          <w:tab w:pos="1286" w:val="left" w:leader="none"/>
        </w:tabs>
        <w:spacing w:line="273" w:lineRule="exact" w:before="0" w:after="0"/>
        <w:ind w:left="1286" w:right="0" w:hanging="360"/>
        <w:jc w:val="both"/>
        <w:rPr>
          <w:sz w:val="24"/>
        </w:rPr>
      </w:pPr>
      <w:r>
        <w:rPr>
          <w:sz w:val="24"/>
        </w:rPr>
        <w:t>Fasilitas</w:t>
      </w:r>
      <w:r>
        <w:rPr>
          <w:spacing w:val="-11"/>
          <w:sz w:val="24"/>
        </w:rPr>
        <w:t> </w:t>
      </w:r>
      <w:r>
        <w:rPr>
          <w:sz w:val="24"/>
        </w:rPr>
        <w:t>Online</w:t>
      </w:r>
      <w:r>
        <w:rPr>
          <w:spacing w:val="-12"/>
          <w:sz w:val="24"/>
        </w:rPr>
        <w:t> </w:t>
      </w:r>
      <w:r>
        <w:rPr>
          <w:sz w:val="24"/>
        </w:rPr>
        <w:t>Trading</w:t>
      </w:r>
      <w:r>
        <w:rPr>
          <w:spacing w:val="-6"/>
          <w:sz w:val="24"/>
        </w:rPr>
        <w:t> </w:t>
      </w:r>
      <w:r>
        <w:rPr>
          <w:spacing w:val="-4"/>
          <w:sz w:val="24"/>
        </w:rPr>
        <w:t>(X2)</w:t>
      </w:r>
    </w:p>
    <w:p>
      <w:pPr>
        <w:pStyle w:val="ListParagraph"/>
        <w:spacing w:after="0" w:line="273" w:lineRule="exact"/>
        <w:jc w:val="both"/>
        <w:rPr>
          <w:sz w:val="24"/>
        </w:rPr>
        <w:sectPr>
          <w:pgSz w:w="11910" w:h="16840"/>
          <w:pgMar w:header="612" w:footer="0" w:top="1920" w:bottom="280" w:left="1700" w:right="1559"/>
        </w:sectPr>
      </w:pPr>
    </w:p>
    <w:p>
      <w:pPr>
        <w:pStyle w:val="BodyText"/>
        <w:spacing w:before="48"/>
        <w:ind w:left="0"/>
        <w:jc w:val="left"/>
      </w:pPr>
    </w:p>
    <w:p>
      <w:pPr>
        <w:pStyle w:val="BodyText"/>
        <w:spacing w:line="480" w:lineRule="auto"/>
        <w:ind w:left="1287" w:right="141"/>
      </w:pPr>
      <w:r>
        <w:rPr/>
        <w:drawing>
          <wp:anchor distT="0" distB="0" distL="0" distR="0" allowOverlap="1" layoutInCell="1" locked="0" behindDoc="1" simplePos="0" relativeHeight="487406592">
            <wp:simplePos x="0" y="0"/>
            <wp:positionH relativeFrom="page">
              <wp:posOffset>1456944</wp:posOffset>
            </wp:positionH>
            <wp:positionV relativeFrom="paragraph">
              <wp:posOffset>1604532</wp:posOffset>
            </wp:positionV>
            <wp:extent cx="4667249" cy="4591049"/>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5" cstate="print"/>
                    <a:stretch>
                      <a:fillRect/>
                    </a:stretch>
                  </pic:blipFill>
                  <pic:spPr>
                    <a:xfrm>
                      <a:off x="0" y="0"/>
                      <a:ext cx="4667249" cy="4591049"/>
                    </a:xfrm>
                    <a:prstGeom prst="rect">
                      <a:avLst/>
                    </a:prstGeom>
                  </pic:spPr>
                </pic:pic>
              </a:graphicData>
            </a:graphic>
          </wp:anchor>
        </w:drawing>
      </w:r>
      <w:r>
        <w:rPr/>
        <w:t>Kemudahan dalam mengakses serta menggunakan fasilitas online trading memberikan peluang bagi mahasiswa untuk berinvestasi</w:t>
      </w:r>
      <w:r>
        <w:rPr>
          <w:spacing w:val="-3"/>
        </w:rPr>
        <w:t> </w:t>
      </w:r>
      <w:r>
        <w:rPr/>
        <w:t>dengan cara yang lebih cepat dan fleksibel. Platform digital yang mudah digunakan, ketersediaan</w:t>
      </w:r>
      <w:r>
        <w:rPr>
          <w:spacing w:val="-8"/>
        </w:rPr>
        <w:t> </w:t>
      </w:r>
      <w:r>
        <w:rPr/>
        <w:t>informasi</w:t>
      </w:r>
      <w:r>
        <w:rPr>
          <w:spacing w:val="-11"/>
        </w:rPr>
        <w:t> </w:t>
      </w:r>
      <w:r>
        <w:rPr/>
        <w:t>pasar</w:t>
      </w:r>
      <w:r>
        <w:rPr>
          <w:spacing w:val="-6"/>
        </w:rPr>
        <w:t> </w:t>
      </w:r>
      <w:r>
        <w:rPr/>
        <w:t>secara</w:t>
      </w:r>
      <w:r>
        <w:rPr>
          <w:spacing w:val="-9"/>
        </w:rPr>
        <w:t> </w:t>
      </w:r>
      <w:r>
        <w:rPr/>
        <w:t>real</w:t>
      </w:r>
      <w:r>
        <w:rPr>
          <w:spacing w:val="-11"/>
        </w:rPr>
        <w:t> </w:t>
      </w:r>
      <w:r>
        <w:rPr/>
        <w:t>time,</w:t>
      </w:r>
      <w:r>
        <w:rPr>
          <w:spacing w:val="-6"/>
        </w:rPr>
        <w:t> </w:t>
      </w:r>
      <w:r>
        <w:rPr/>
        <w:t>serta</w:t>
      </w:r>
      <w:r>
        <w:rPr>
          <w:spacing w:val="-13"/>
        </w:rPr>
        <w:t> </w:t>
      </w:r>
      <w:r>
        <w:rPr/>
        <w:t>fitur</w:t>
      </w:r>
      <w:r>
        <w:rPr>
          <w:spacing w:val="-6"/>
        </w:rPr>
        <w:t> </w:t>
      </w:r>
      <w:r>
        <w:rPr/>
        <w:t>pendukung</w:t>
      </w:r>
      <w:r>
        <w:rPr>
          <w:spacing w:val="-3"/>
        </w:rPr>
        <w:t> </w:t>
      </w:r>
      <w:r>
        <w:rPr/>
        <w:t>lainnya dapat menjadi dorongan bagi mahasiswa untuk mulai melakukan aktivitas </w:t>
      </w:r>
      <w:r>
        <w:rPr>
          <w:spacing w:val="-2"/>
        </w:rPr>
        <w:t>investasi.</w:t>
      </w:r>
    </w:p>
    <w:p>
      <w:pPr>
        <w:pStyle w:val="ListParagraph"/>
        <w:numPr>
          <w:ilvl w:val="0"/>
          <w:numId w:val="2"/>
        </w:numPr>
        <w:tabs>
          <w:tab w:pos="1286" w:val="left" w:leader="none"/>
        </w:tabs>
        <w:spacing w:line="240" w:lineRule="auto" w:before="0" w:after="0"/>
        <w:ind w:left="1286" w:right="0" w:hanging="360"/>
        <w:jc w:val="both"/>
        <w:rPr>
          <w:sz w:val="24"/>
        </w:rPr>
      </w:pPr>
      <w:r>
        <w:rPr>
          <w:sz w:val="24"/>
        </w:rPr>
        <w:t>Modal</w:t>
      </w:r>
      <w:r>
        <w:rPr>
          <w:spacing w:val="-7"/>
          <w:sz w:val="24"/>
        </w:rPr>
        <w:t> </w:t>
      </w:r>
      <w:r>
        <w:rPr>
          <w:sz w:val="24"/>
        </w:rPr>
        <w:t>Minimal</w:t>
      </w:r>
      <w:r>
        <w:rPr>
          <w:spacing w:val="-3"/>
          <w:sz w:val="24"/>
        </w:rPr>
        <w:t> </w:t>
      </w:r>
      <w:r>
        <w:rPr>
          <w:spacing w:val="-4"/>
          <w:sz w:val="24"/>
        </w:rPr>
        <w:t>(X3)</w:t>
      </w:r>
    </w:p>
    <w:p>
      <w:pPr>
        <w:pStyle w:val="BodyText"/>
        <w:ind w:left="0"/>
        <w:jc w:val="left"/>
      </w:pPr>
    </w:p>
    <w:p>
      <w:pPr>
        <w:pStyle w:val="BodyText"/>
        <w:spacing w:line="480" w:lineRule="auto" w:before="0"/>
        <w:ind w:left="1287" w:right="139"/>
      </w:pPr>
      <w:r>
        <w:rPr/>
        <w:t>Besarnya modal awal yang dibutuhkan untuk memulai investasi menjadi aspek penting dalam pengambilan keputusan, khususnya bagi mahasiswa yang memiliki keterbatasan finansial. Adanya pilihan instrumen investasi dengan modal awal yang terjangkau dapat mengurangi hambatan untuk memasuki dunia investasi, sehingga mendorong minat mahasiswa untuk mulai berinvestasi.</w:t>
      </w:r>
    </w:p>
    <w:p>
      <w:pPr>
        <w:pStyle w:val="ListParagraph"/>
        <w:numPr>
          <w:ilvl w:val="0"/>
          <w:numId w:val="2"/>
        </w:numPr>
        <w:tabs>
          <w:tab w:pos="1286" w:val="left" w:leader="none"/>
        </w:tabs>
        <w:spacing w:line="240" w:lineRule="auto" w:before="1" w:after="0"/>
        <w:ind w:left="1286" w:right="0" w:hanging="360"/>
        <w:jc w:val="both"/>
        <w:rPr>
          <w:sz w:val="24"/>
        </w:rPr>
      </w:pPr>
      <w:r>
        <w:rPr>
          <w:sz w:val="24"/>
        </w:rPr>
        <w:t>Minat Investasi</w:t>
      </w:r>
      <w:r>
        <w:rPr>
          <w:spacing w:val="-11"/>
          <w:sz w:val="24"/>
        </w:rPr>
        <w:t> </w:t>
      </w:r>
      <w:r>
        <w:rPr>
          <w:spacing w:val="-5"/>
          <w:sz w:val="24"/>
        </w:rPr>
        <w:t>(Y)</w:t>
      </w:r>
    </w:p>
    <w:p>
      <w:pPr>
        <w:pStyle w:val="BodyText"/>
        <w:spacing w:before="0"/>
        <w:ind w:left="0"/>
        <w:jc w:val="left"/>
      </w:pPr>
    </w:p>
    <w:p>
      <w:pPr>
        <w:pStyle w:val="BodyText"/>
        <w:spacing w:line="480" w:lineRule="auto" w:before="0"/>
        <w:ind w:left="1287" w:right="139"/>
      </w:pPr>
      <w:r>
        <w:rPr/>
        <w:t>Minat investasi dapat diartikan sebagai kecenderungan atau dorongan seseorang</w:t>
      </w:r>
      <w:r>
        <w:rPr>
          <w:spacing w:val="-15"/>
        </w:rPr>
        <w:t> </w:t>
      </w:r>
      <w:r>
        <w:rPr/>
        <w:t>untuk</w:t>
      </w:r>
      <w:r>
        <w:rPr>
          <w:spacing w:val="-15"/>
        </w:rPr>
        <w:t> </w:t>
      </w:r>
      <w:r>
        <w:rPr/>
        <w:t>melakukan</w:t>
      </w:r>
      <w:r>
        <w:rPr>
          <w:spacing w:val="-15"/>
        </w:rPr>
        <w:t> </w:t>
      </w:r>
      <w:r>
        <w:rPr/>
        <w:t>kegiatan</w:t>
      </w:r>
      <w:r>
        <w:rPr>
          <w:spacing w:val="-15"/>
        </w:rPr>
        <w:t> </w:t>
      </w:r>
      <w:r>
        <w:rPr/>
        <w:t>investasi.</w:t>
      </w:r>
      <w:r>
        <w:rPr>
          <w:spacing w:val="-15"/>
        </w:rPr>
        <w:t> </w:t>
      </w:r>
      <w:r>
        <w:rPr/>
        <w:t>Minat</w:t>
      </w:r>
      <w:r>
        <w:rPr>
          <w:spacing w:val="-15"/>
        </w:rPr>
        <w:t> </w:t>
      </w:r>
      <w:r>
        <w:rPr/>
        <w:t>tersebut</w:t>
      </w:r>
      <w:r>
        <w:rPr>
          <w:spacing w:val="-15"/>
        </w:rPr>
        <w:t> </w:t>
      </w:r>
      <w:r>
        <w:rPr/>
        <w:t>dapat</w:t>
      </w:r>
      <w:r>
        <w:rPr>
          <w:spacing w:val="-15"/>
        </w:rPr>
        <w:t> </w:t>
      </w:r>
      <w:r>
        <w:rPr/>
        <w:t>muncul melalui</w:t>
      </w:r>
      <w:r>
        <w:rPr>
          <w:spacing w:val="-15"/>
        </w:rPr>
        <w:t> </w:t>
      </w:r>
      <w:r>
        <w:rPr/>
        <w:t>kombinasi</w:t>
      </w:r>
      <w:r>
        <w:rPr>
          <w:spacing w:val="-15"/>
        </w:rPr>
        <w:t> </w:t>
      </w:r>
      <w:r>
        <w:rPr/>
        <w:t>berbagai</w:t>
      </w:r>
      <w:r>
        <w:rPr>
          <w:spacing w:val="-15"/>
        </w:rPr>
        <w:t> </w:t>
      </w:r>
      <w:r>
        <w:rPr/>
        <w:t>faktor,</w:t>
      </w:r>
      <w:r>
        <w:rPr>
          <w:spacing w:val="-15"/>
        </w:rPr>
        <w:t> </w:t>
      </w:r>
      <w:r>
        <w:rPr/>
        <w:t>seperti</w:t>
      </w:r>
      <w:r>
        <w:rPr>
          <w:spacing w:val="-15"/>
        </w:rPr>
        <w:t> </w:t>
      </w:r>
      <w:r>
        <w:rPr/>
        <w:t>tingkat</w:t>
      </w:r>
      <w:r>
        <w:rPr>
          <w:spacing w:val="-13"/>
        </w:rPr>
        <w:t> </w:t>
      </w:r>
      <w:r>
        <w:rPr/>
        <w:t>pengetahuan,</w:t>
      </w:r>
      <w:r>
        <w:rPr>
          <w:spacing w:val="-12"/>
        </w:rPr>
        <w:t> </w:t>
      </w:r>
      <w:r>
        <w:rPr/>
        <w:t>kemudahan akses terhadap fasilitas investasi, serta ketersediaan modal yang sesuai dengan kemampuan individu.</w:t>
      </w:r>
    </w:p>
    <w:p>
      <w:pPr>
        <w:pStyle w:val="Heading1"/>
        <w:numPr>
          <w:ilvl w:val="1"/>
          <w:numId w:val="1"/>
        </w:numPr>
        <w:tabs>
          <w:tab w:pos="930" w:val="left" w:leader="none"/>
        </w:tabs>
        <w:spacing w:line="240" w:lineRule="auto" w:before="165" w:after="0"/>
        <w:ind w:left="930" w:right="0" w:hanging="364"/>
        <w:jc w:val="left"/>
      </w:pPr>
      <w:bookmarkStart w:name="2.4 Hipotesis:" w:id="10"/>
      <w:bookmarkEnd w:id="10"/>
      <w:r>
        <w:rPr>
          <w:b w:val="0"/>
        </w:rPr>
      </w:r>
      <w:r>
        <w:rPr>
          <w:spacing w:val="-2"/>
        </w:rPr>
        <w:t>Hipotesis:</w:t>
      </w:r>
    </w:p>
    <w:p>
      <w:pPr>
        <w:pStyle w:val="BodyText"/>
        <w:spacing w:line="477" w:lineRule="auto" w:before="236"/>
        <w:jc w:val="left"/>
      </w:pPr>
      <w:r>
        <w:rPr>
          <w:position w:val="2"/>
        </w:rPr>
        <w:t>H</w:t>
      </w:r>
      <w:r>
        <w:rPr>
          <w:sz w:val="16"/>
        </w:rPr>
        <w:t>1</w:t>
      </w:r>
      <w:r>
        <w:rPr>
          <w:position w:val="2"/>
        </w:rPr>
        <w:t>:Pengetahuan</w:t>
      </w:r>
      <w:r>
        <w:rPr>
          <w:spacing w:val="80"/>
          <w:position w:val="2"/>
        </w:rPr>
        <w:t> </w:t>
      </w:r>
      <w:r>
        <w:rPr>
          <w:position w:val="2"/>
        </w:rPr>
        <w:t>investasi</w:t>
      </w:r>
      <w:r>
        <w:rPr>
          <w:spacing w:val="80"/>
          <w:position w:val="2"/>
        </w:rPr>
        <w:t> </w:t>
      </w:r>
      <w:r>
        <w:rPr>
          <w:position w:val="2"/>
        </w:rPr>
        <w:t>berpengaruh</w:t>
      </w:r>
      <w:r>
        <w:rPr>
          <w:spacing w:val="80"/>
          <w:position w:val="2"/>
        </w:rPr>
        <w:t> </w:t>
      </w:r>
      <w:r>
        <w:rPr>
          <w:position w:val="2"/>
        </w:rPr>
        <w:t>terhadap</w:t>
      </w:r>
      <w:r>
        <w:rPr>
          <w:spacing w:val="80"/>
          <w:position w:val="2"/>
        </w:rPr>
        <w:t> </w:t>
      </w:r>
      <w:r>
        <w:rPr>
          <w:position w:val="2"/>
        </w:rPr>
        <w:t>minat</w:t>
      </w:r>
      <w:r>
        <w:rPr>
          <w:spacing w:val="80"/>
          <w:position w:val="2"/>
        </w:rPr>
        <w:t> </w:t>
      </w:r>
      <w:r>
        <w:rPr>
          <w:position w:val="2"/>
        </w:rPr>
        <w:t>investasi</w:t>
      </w:r>
      <w:r>
        <w:rPr>
          <w:spacing w:val="80"/>
          <w:position w:val="2"/>
        </w:rPr>
        <w:t> </w:t>
      </w:r>
      <w:r>
        <w:rPr>
          <w:position w:val="2"/>
        </w:rPr>
        <w:t>mahasiswa</w:t>
      </w:r>
      <w:r>
        <w:rPr>
          <w:spacing w:val="40"/>
          <w:position w:val="2"/>
        </w:rPr>
        <w:t> </w:t>
      </w:r>
      <w:r>
        <w:rPr/>
        <w:t>Universitas Muslim Nusantara Al Washliyah.</w:t>
      </w:r>
    </w:p>
    <w:p>
      <w:pPr>
        <w:pStyle w:val="BodyText"/>
        <w:spacing w:before="4"/>
        <w:jc w:val="left"/>
        <w:rPr>
          <w:position w:val="2"/>
        </w:rPr>
      </w:pPr>
      <w:r>
        <w:rPr>
          <w:position w:val="2"/>
        </w:rPr>
        <w:t>H</w:t>
      </w:r>
      <w:r>
        <w:rPr>
          <w:sz w:val="16"/>
        </w:rPr>
        <w:t>2</w:t>
      </w:r>
      <w:r>
        <w:rPr>
          <w:position w:val="2"/>
        </w:rPr>
        <w:t>:Fasilitas</w:t>
      </w:r>
      <w:r>
        <w:rPr>
          <w:spacing w:val="60"/>
          <w:w w:val="150"/>
          <w:position w:val="2"/>
        </w:rPr>
        <w:t> </w:t>
      </w:r>
      <w:r>
        <w:rPr>
          <w:position w:val="2"/>
        </w:rPr>
        <w:t>online</w:t>
      </w:r>
      <w:r>
        <w:rPr>
          <w:spacing w:val="62"/>
          <w:w w:val="150"/>
          <w:position w:val="2"/>
        </w:rPr>
        <w:t> </w:t>
      </w:r>
      <w:r>
        <w:rPr>
          <w:position w:val="2"/>
        </w:rPr>
        <w:t>trading</w:t>
      </w:r>
      <w:r>
        <w:rPr>
          <w:spacing w:val="62"/>
          <w:w w:val="150"/>
          <w:position w:val="2"/>
        </w:rPr>
        <w:t> </w:t>
      </w:r>
      <w:r>
        <w:rPr>
          <w:position w:val="2"/>
        </w:rPr>
        <w:t>berpengaruh</w:t>
      </w:r>
      <w:r>
        <w:rPr>
          <w:spacing w:val="58"/>
          <w:w w:val="150"/>
          <w:position w:val="2"/>
        </w:rPr>
        <w:t> </w:t>
      </w:r>
      <w:r>
        <w:rPr>
          <w:position w:val="2"/>
        </w:rPr>
        <w:t>terhadap</w:t>
      </w:r>
      <w:r>
        <w:rPr>
          <w:spacing w:val="63"/>
          <w:w w:val="150"/>
          <w:position w:val="2"/>
        </w:rPr>
        <w:t> </w:t>
      </w:r>
      <w:r>
        <w:rPr>
          <w:position w:val="2"/>
        </w:rPr>
        <w:t>minat</w:t>
      </w:r>
      <w:r>
        <w:rPr>
          <w:spacing w:val="67"/>
          <w:w w:val="150"/>
          <w:position w:val="2"/>
        </w:rPr>
        <w:t> </w:t>
      </w:r>
      <w:r>
        <w:rPr>
          <w:position w:val="2"/>
        </w:rPr>
        <w:t>investasi</w:t>
      </w:r>
      <w:r>
        <w:rPr>
          <w:spacing w:val="58"/>
          <w:w w:val="150"/>
          <w:position w:val="2"/>
        </w:rPr>
        <w:t> </w:t>
      </w:r>
      <w:r>
        <w:rPr>
          <w:spacing w:val="-2"/>
          <w:position w:val="2"/>
        </w:rPr>
        <w:t>mahasiswa</w:t>
      </w:r>
    </w:p>
    <w:p>
      <w:pPr>
        <w:pStyle w:val="BodyText"/>
        <w:spacing w:after="0"/>
        <w:jc w:val="left"/>
        <w:rPr>
          <w:position w:val="2"/>
        </w:rPr>
        <w:sectPr>
          <w:pgSz w:w="11910" w:h="16840"/>
          <w:pgMar w:header="612" w:footer="0" w:top="1920" w:bottom="280" w:left="1700" w:right="1559"/>
        </w:sectPr>
      </w:pPr>
    </w:p>
    <w:p>
      <w:pPr>
        <w:pStyle w:val="BodyText"/>
        <w:spacing w:before="48"/>
        <w:ind w:left="0"/>
        <w:jc w:val="left"/>
      </w:pPr>
    </w:p>
    <w:p>
      <w:pPr>
        <w:pStyle w:val="BodyText"/>
      </w:pPr>
      <w:r>
        <w:rPr/>
        <w:t>Universitas</w:t>
      </w:r>
      <w:r>
        <w:rPr>
          <w:spacing w:val="-1"/>
        </w:rPr>
        <w:t> </w:t>
      </w:r>
      <w:r>
        <w:rPr/>
        <w:t>Muslim</w:t>
      </w:r>
      <w:r>
        <w:rPr>
          <w:spacing w:val="-7"/>
        </w:rPr>
        <w:t> </w:t>
      </w:r>
      <w:r>
        <w:rPr/>
        <w:t>Nusanta Al</w:t>
      </w:r>
      <w:r>
        <w:rPr>
          <w:spacing w:val="-3"/>
        </w:rPr>
        <w:t> </w:t>
      </w:r>
      <w:r>
        <w:rPr>
          <w:spacing w:val="-2"/>
        </w:rPr>
        <w:t>Washliyah.</w:t>
      </w:r>
    </w:p>
    <w:p>
      <w:pPr>
        <w:pStyle w:val="BodyText"/>
        <w:spacing w:line="477" w:lineRule="auto" w:before="275"/>
        <w:ind w:right="152"/>
      </w:pPr>
      <w:r>
        <w:rPr>
          <w:position w:val="2"/>
        </w:rPr>
        <w:t>H</w:t>
      </w:r>
      <w:r>
        <w:rPr>
          <w:sz w:val="16"/>
        </w:rPr>
        <w:t>3</w:t>
      </w:r>
      <w:r>
        <w:rPr>
          <w:position w:val="2"/>
        </w:rPr>
        <w:t>:Modal minimal berpengaruh terhadap minat investasi mahasiswa Universitas </w:t>
      </w:r>
      <w:r>
        <w:rPr/>
        <w:t>Muslim Nusantara Al Washliyah.</w:t>
      </w:r>
    </w:p>
    <w:p>
      <w:pPr>
        <w:pStyle w:val="BodyText"/>
        <w:spacing w:line="480" w:lineRule="auto" w:before="3"/>
        <w:ind w:right="142"/>
      </w:pPr>
      <w:r>
        <w:rPr/>
        <w:drawing>
          <wp:anchor distT="0" distB="0" distL="0" distR="0" allowOverlap="1" layoutInCell="1" locked="0" behindDoc="1" simplePos="0" relativeHeight="487407104">
            <wp:simplePos x="0" y="0"/>
            <wp:positionH relativeFrom="page">
              <wp:posOffset>1456944</wp:posOffset>
            </wp:positionH>
            <wp:positionV relativeFrom="paragraph">
              <wp:posOffset>554840</wp:posOffset>
            </wp:positionV>
            <wp:extent cx="4667249" cy="4591049"/>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5" cstate="print"/>
                    <a:stretch>
                      <a:fillRect/>
                    </a:stretch>
                  </pic:blipFill>
                  <pic:spPr>
                    <a:xfrm>
                      <a:off x="0" y="0"/>
                      <a:ext cx="4667249" cy="4591049"/>
                    </a:xfrm>
                    <a:prstGeom prst="rect">
                      <a:avLst/>
                    </a:prstGeom>
                  </pic:spPr>
                </pic:pic>
              </a:graphicData>
            </a:graphic>
          </wp:anchor>
        </w:drawing>
      </w:r>
      <w:r>
        <w:rPr>
          <w:position w:val="2"/>
        </w:rPr>
        <w:t>H</w:t>
      </w:r>
      <w:r>
        <w:rPr>
          <w:sz w:val="16"/>
        </w:rPr>
        <w:t>4</w:t>
      </w:r>
      <w:r>
        <w:rPr>
          <w:position w:val="2"/>
        </w:rPr>
        <w:t>:Pengetahuan Investasi, fasilitas online trading, dan modal minimal secara </w:t>
      </w:r>
      <w:r>
        <w:rPr/>
        <w:t>simultan berpengaruh terhadap minat investasi mahasiswa Universitas Muslim Nusantara Al Washliyah.</w:t>
      </w:r>
    </w:p>
    <w:sectPr>
      <w:pgSz w:w="11910" w:h="16840"/>
      <w:pgMar w:header="612" w:footer="0" w:top="192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jc w:val="left"/>
      <w:rPr>
        <w:sz w:val="20"/>
      </w:rPr>
    </w:pPr>
    <w:r>
      <w:rPr>
        <w:sz w:val="20"/>
      </w:rPr>
      <mc:AlternateContent>
        <mc:Choice Requires="wps">
          <w:drawing>
            <wp:anchor distT="0" distB="0" distL="0" distR="0" allowOverlap="1" layoutInCell="1" locked="0" behindDoc="1" simplePos="0" relativeHeight="487397888">
              <wp:simplePos x="0" y="0"/>
              <wp:positionH relativeFrom="page">
                <wp:posOffset>6304153</wp:posOffset>
              </wp:positionH>
              <wp:positionV relativeFrom="page">
                <wp:posOffset>375919</wp:posOffset>
              </wp:positionV>
              <wp:extent cx="22923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29235" cy="165735"/>
                      </a:xfrm>
                      <a:prstGeom prst="rect">
                        <a:avLst/>
                      </a:prstGeom>
                    </wps:spPr>
                    <wps:txbx>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15</w:t>
                          </w:r>
                          <w:r>
                            <w:rPr>
                              <w:rFonts w:ascii="Calibri"/>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6.390015pt;margin-top:29.599983pt;width:18.05pt;height:13.05pt;mso-position-horizontal-relative:page;mso-position-vertical-relative:page;z-index:-15918592" type="#_x0000_t202" id="docshape1" filled="false" stroked="false">
              <v:textbox inset="0,0,0,0">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15</w:t>
                    </w:r>
                    <w:r>
                      <w:rPr>
                        <w:rFonts w:ascii="Calibri"/>
                        <w:spacing w:val="-5"/>
                        <w:sz w:val="22"/>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287"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6" w:hanging="361"/>
      </w:pPr>
      <w:rPr>
        <w:rFonts w:hint="default"/>
        <w:lang w:val="id" w:eastAsia="en-US" w:bidi="ar-SA"/>
      </w:rPr>
    </w:lvl>
    <w:lvl w:ilvl="2">
      <w:start w:val="0"/>
      <w:numFmt w:val="bullet"/>
      <w:lvlText w:val="•"/>
      <w:lvlJc w:val="left"/>
      <w:pPr>
        <w:ind w:left="2753" w:hanging="361"/>
      </w:pPr>
      <w:rPr>
        <w:rFonts w:hint="default"/>
        <w:lang w:val="id" w:eastAsia="en-US" w:bidi="ar-SA"/>
      </w:rPr>
    </w:lvl>
    <w:lvl w:ilvl="3">
      <w:start w:val="0"/>
      <w:numFmt w:val="bullet"/>
      <w:lvlText w:val="•"/>
      <w:lvlJc w:val="left"/>
      <w:pPr>
        <w:ind w:left="3490" w:hanging="361"/>
      </w:pPr>
      <w:rPr>
        <w:rFonts w:hint="default"/>
        <w:lang w:val="id" w:eastAsia="en-US" w:bidi="ar-SA"/>
      </w:rPr>
    </w:lvl>
    <w:lvl w:ilvl="4">
      <w:start w:val="0"/>
      <w:numFmt w:val="bullet"/>
      <w:lvlText w:val="•"/>
      <w:lvlJc w:val="left"/>
      <w:pPr>
        <w:ind w:left="4227" w:hanging="361"/>
      </w:pPr>
      <w:rPr>
        <w:rFonts w:hint="default"/>
        <w:lang w:val="id" w:eastAsia="en-US" w:bidi="ar-SA"/>
      </w:rPr>
    </w:lvl>
    <w:lvl w:ilvl="5">
      <w:start w:val="0"/>
      <w:numFmt w:val="bullet"/>
      <w:lvlText w:val="•"/>
      <w:lvlJc w:val="left"/>
      <w:pPr>
        <w:ind w:left="4964" w:hanging="361"/>
      </w:pPr>
      <w:rPr>
        <w:rFonts w:hint="default"/>
        <w:lang w:val="id" w:eastAsia="en-US" w:bidi="ar-SA"/>
      </w:rPr>
    </w:lvl>
    <w:lvl w:ilvl="6">
      <w:start w:val="0"/>
      <w:numFmt w:val="bullet"/>
      <w:lvlText w:val="•"/>
      <w:lvlJc w:val="left"/>
      <w:pPr>
        <w:ind w:left="5701" w:hanging="361"/>
      </w:pPr>
      <w:rPr>
        <w:rFonts w:hint="default"/>
        <w:lang w:val="id" w:eastAsia="en-US" w:bidi="ar-SA"/>
      </w:rPr>
    </w:lvl>
    <w:lvl w:ilvl="7">
      <w:start w:val="0"/>
      <w:numFmt w:val="bullet"/>
      <w:lvlText w:val="•"/>
      <w:lvlJc w:val="left"/>
      <w:pPr>
        <w:ind w:left="6438" w:hanging="361"/>
      </w:pPr>
      <w:rPr>
        <w:rFonts w:hint="default"/>
        <w:lang w:val="id" w:eastAsia="en-US" w:bidi="ar-SA"/>
      </w:rPr>
    </w:lvl>
    <w:lvl w:ilvl="8">
      <w:start w:val="0"/>
      <w:numFmt w:val="bullet"/>
      <w:lvlText w:val="•"/>
      <w:lvlJc w:val="left"/>
      <w:pPr>
        <w:ind w:left="7175" w:hanging="361"/>
      </w:pPr>
      <w:rPr>
        <w:rFonts w:hint="default"/>
        <w:lang w:val="id" w:eastAsia="en-US" w:bidi="ar-SA"/>
      </w:rPr>
    </w:lvl>
  </w:abstractNum>
  <w:abstractNum w:abstractNumId="0">
    <w:multiLevelType w:val="hybridMultilevel"/>
    <w:lvl w:ilvl="0">
      <w:start w:val="2"/>
      <w:numFmt w:val="decimal"/>
      <w:lvlText w:val="%1"/>
      <w:lvlJc w:val="left"/>
      <w:pPr>
        <w:ind w:left="930" w:hanging="365"/>
        <w:jc w:val="left"/>
      </w:pPr>
      <w:rPr>
        <w:rFonts w:hint="default"/>
        <w:lang w:val="id" w:eastAsia="en-US" w:bidi="ar-SA"/>
      </w:rPr>
    </w:lvl>
    <w:lvl w:ilvl="1">
      <w:start w:val="1"/>
      <w:numFmt w:val="decimal"/>
      <w:lvlText w:val="%1.%2"/>
      <w:lvlJc w:val="left"/>
      <w:pPr>
        <w:ind w:left="930" w:hanging="365"/>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08" w:hanging="542"/>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2777" w:hanging="542"/>
      </w:pPr>
      <w:rPr>
        <w:rFonts w:hint="default"/>
        <w:lang w:val="id" w:eastAsia="en-US" w:bidi="ar-SA"/>
      </w:rPr>
    </w:lvl>
    <w:lvl w:ilvl="4">
      <w:start w:val="0"/>
      <w:numFmt w:val="bullet"/>
      <w:lvlText w:val="•"/>
      <w:lvlJc w:val="left"/>
      <w:pPr>
        <w:ind w:left="3616" w:hanging="542"/>
      </w:pPr>
      <w:rPr>
        <w:rFonts w:hint="default"/>
        <w:lang w:val="id" w:eastAsia="en-US" w:bidi="ar-SA"/>
      </w:rPr>
    </w:lvl>
    <w:lvl w:ilvl="5">
      <w:start w:val="0"/>
      <w:numFmt w:val="bullet"/>
      <w:lvlText w:val="•"/>
      <w:lvlJc w:val="left"/>
      <w:pPr>
        <w:ind w:left="4455" w:hanging="542"/>
      </w:pPr>
      <w:rPr>
        <w:rFonts w:hint="default"/>
        <w:lang w:val="id" w:eastAsia="en-US" w:bidi="ar-SA"/>
      </w:rPr>
    </w:lvl>
    <w:lvl w:ilvl="6">
      <w:start w:val="0"/>
      <w:numFmt w:val="bullet"/>
      <w:lvlText w:val="•"/>
      <w:lvlJc w:val="left"/>
      <w:pPr>
        <w:ind w:left="5294" w:hanging="542"/>
      </w:pPr>
      <w:rPr>
        <w:rFonts w:hint="default"/>
        <w:lang w:val="id" w:eastAsia="en-US" w:bidi="ar-SA"/>
      </w:rPr>
    </w:lvl>
    <w:lvl w:ilvl="7">
      <w:start w:val="0"/>
      <w:numFmt w:val="bullet"/>
      <w:lvlText w:val="•"/>
      <w:lvlJc w:val="left"/>
      <w:pPr>
        <w:ind w:left="6133" w:hanging="542"/>
      </w:pPr>
      <w:rPr>
        <w:rFonts w:hint="default"/>
        <w:lang w:val="id" w:eastAsia="en-US" w:bidi="ar-SA"/>
      </w:rPr>
    </w:lvl>
    <w:lvl w:ilvl="8">
      <w:start w:val="0"/>
      <w:numFmt w:val="bullet"/>
      <w:lvlText w:val="•"/>
      <w:lvlJc w:val="left"/>
      <w:pPr>
        <w:ind w:left="6972" w:hanging="542"/>
      </w:pPr>
      <w:rPr>
        <w:rFonts w:hint="default"/>
        <w:lang w:val="id"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spacing w:before="1"/>
      <w:ind w:left="566"/>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930" w:hanging="541"/>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286"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ind w:left="109"/>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2026-09-22T11:48:08Z</dcterms:created>
  <dcterms:modified xsi:type="dcterms:W3CDTF">2026-09-22T11:48:08Z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