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42E2" w14:textId="77777777" w:rsidR="00521237" w:rsidRDefault="00E208D8">
      <w:pPr>
        <w:pStyle w:val="Heading1"/>
      </w:pPr>
      <w:bookmarkStart w:id="0" w:name="_Toc239063792"/>
      <w:r>
        <w:rPr>
          <w:color w:val="0D0D0D"/>
          <w:szCs w:val="24"/>
        </w:rPr>
        <w:t>BAB II</w:t>
      </w:r>
      <w:bookmarkEnd w:id="0"/>
    </w:p>
    <w:p w14:paraId="198BCC2B" w14:textId="77777777" w:rsidR="00521237" w:rsidRDefault="00E208D8">
      <w:pPr>
        <w:pStyle w:val="Heading1"/>
        <w:rPr>
          <w:color w:val="0D0D0D"/>
          <w:szCs w:val="24"/>
        </w:rPr>
      </w:pPr>
      <w:bookmarkStart w:id="1" w:name="_Toc232114194"/>
      <w:bookmarkStart w:id="2" w:name="_Toc239063793"/>
      <w:r>
        <w:rPr>
          <w:color w:val="0D0D0D"/>
          <w:szCs w:val="24"/>
        </w:rPr>
        <w:t>TINJAUAN PUSTAKA</w:t>
      </w:r>
      <w:bookmarkEnd w:id="1"/>
      <w:bookmarkEnd w:id="2"/>
    </w:p>
    <w:p w14:paraId="23244F09" w14:textId="77777777" w:rsidR="00521237" w:rsidRDefault="00521237">
      <w:pPr>
        <w:rPr>
          <w:color w:val="0D0D0D"/>
          <w:lang w:val="en-US"/>
        </w:rPr>
      </w:pPr>
    </w:p>
    <w:p w14:paraId="42F8D5B3" w14:textId="77777777" w:rsidR="00521237" w:rsidRDefault="00E208D8">
      <w:pPr>
        <w:pStyle w:val="Heading2"/>
        <w:rPr>
          <w:sz w:val="36"/>
          <w:szCs w:val="36"/>
        </w:rPr>
      </w:pPr>
      <w:bookmarkStart w:id="3" w:name="_Toc239063794"/>
      <w:r>
        <w:t xml:space="preserve">A. </w:t>
      </w:r>
      <w:r>
        <w:tab/>
        <w:t xml:space="preserve">Gambaran Umum </w:t>
      </w:r>
      <w:proofErr w:type="spellStart"/>
      <w:r>
        <w:t>Pertanggungjawaban</w:t>
      </w:r>
      <w:proofErr w:type="spellEnd"/>
      <w:r>
        <w:t xml:space="preserve"> </w:t>
      </w:r>
      <w:proofErr w:type="spellStart"/>
      <w:r>
        <w:t>Pidana</w:t>
      </w:r>
      <w:bookmarkEnd w:id="3"/>
      <w:proofErr w:type="spellEnd"/>
    </w:p>
    <w:p w14:paraId="5F2B0E2A" w14:textId="77777777" w:rsidR="00521237" w:rsidRDefault="00E208D8">
      <w:pPr>
        <w:pStyle w:val="Heading3"/>
        <w:ind w:firstLine="709"/>
      </w:pPr>
      <w:bookmarkStart w:id="4" w:name="_Toc239063795"/>
      <w:r>
        <w:t>1. Pengertian Pertanggungjawaban Pidana</w:t>
      </w:r>
      <w:bookmarkEnd w:id="4"/>
    </w:p>
    <w:p w14:paraId="11CB4ECE" w14:textId="77777777" w:rsidR="00521237" w:rsidRDefault="00E208D8">
      <w:pPr>
        <w:spacing w:line="480" w:lineRule="auto"/>
        <w:ind w:firstLine="709"/>
        <w:jc w:val="both"/>
      </w:pPr>
      <w:r>
        <w:t>Pertanggungjawaban pidana merupakan dasar untuk menentukan apakah seseorang yang melakukan perbuatan pidana dapat dijatuhi pidana atau tidak. Dalam hukum pidana, seseorang tidak cukup hanya terbukti melakukan perbuatan yang dilarang, tetapi juga harus dapat dipersalahkan atas perbuatannya.</w:t>
      </w:r>
      <w:r>
        <w:rPr>
          <w:rStyle w:val="FootnoteReference"/>
        </w:rPr>
        <w:footnoteReference w:id="1"/>
      </w:r>
    </w:p>
    <w:p w14:paraId="3F9AFDBE" w14:textId="77777777" w:rsidR="00521237" w:rsidRDefault="00E208D8">
      <w:pPr>
        <w:spacing w:line="480" w:lineRule="auto"/>
        <w:ind w:firstLine="709"/>
        <w:jc w:val="both"/>
      </w:pPr>
      <w:r>
        <w:t>Pertanggungjawaban pidana berkaitan erat dengan adanya kesalahan pada diri pelaku. Kesalahan tersebut dapat berbentuk kesengajaan maupun kelalaian. Dalam perkara kecelakaan lalu lintas, bentuk kesalahan yang paling sering dikaji adalah kelalaian pengemudi dalam menjalankan kendaraannya.</w:t>
      </w:r>
      <w:r>
        <w:rPr>
          <w:rStyle w:val="FootnoteReference"/>
        </w:rPr>
        <w:footnoteReference w:id="2"/>
      </w:r>
    </w:p>
    <w:p w14:paraId="380531BF" w14:textId="77777777" w:rsidR="00521237" w:rsidRDefault="00E208D8">
      <w:pPr>
        <w:spacing w:line="480" w:lineRule="auto"/>
        <w:ind w:firstLine="709"/>
        <w:jc w:val="both"/>
      </w:pPr>
      <w:r>
        <w:t>Seseorang dapat dimintai pertanggungjawaban pidana apabila ia memiliki kemampuan untuk bertanggung jawab. Artinya, pelaku harus mampu memahami perbuatannya, menyadari akibatnya, dan dapat menentukan kehendaknya secara bebas. Tanpa kemampuan bertanggung jawab, pidana tidak dapat dijatuhkan secara adil.</w:t>
      </w:r>
      <w:r>
        <w:rPr>
          <w:rStyle w:val="FootnoteReference"/>
        </w:rPr>
        <w:footnoteReference w:id="3"/>
      </w:r>
    </w:p>
    <w:p w14:paraId="3A52506B" w14:textId="77777777" w:rsidR="00521237" w:rsidRDefault="00E208D8">
      <w:pPr>
        <w:spacing w:line="480" w:lineRule="auto"/>
        <w:ind w:firstLine="709"/>
        <w:jc w:val="both"/>
      </w:pPr>
      <w:r>
        <w:t xml:space="preserve">Dalam konteks kecelakaan lalu lintas yang mengakibatkan luka berat, pertanggungjawaban pidana muncul apabila pengemudi terbukti lalai dan kelalaiannya menimbulkan akibat hukum terhadap korban. Dengan demikian, </w:t>
      </w:r>
      <w:r>
        <w:lastRenderedPageBreak/>
        <w:t>hubungan antara kelalaian, kecelakaan, dan luka berat harus dapat dibuktikan secara jelas.</w:t>
      </w:r>
      <w:r>
        <w:rPr>
          <w:rStyle w:val="FootnoteReference"/>
        </w:rPr>
        <w:footnoteReference w:id="4"/>
      </w:r>
    </w:p>
    <w:p w14:paraId="02E3DF28" w14:textId="77777777" w:rsidR="00521237" w:rsidRDefault="00E208D8">
      <w:pPr>
        <w:spacing w:line="480" w:lineRule="auto"/>
        <w:ind w:firstLine="709"/>
        <w:jc w:val="both"/>
      </w:pPr>
      <w:r>
        <w:t xml:space="preserve">Pertanggungjawaban pidana tidak hanya bertujuan menghukum pelaku, tetapi juga menjaga ketertiban dan memberikan perlindungan kepada korban. Oleh karena itu, penerapan Pasal 310 </w:t>
      </w:r>
      <w:proofErr w:type="spellStart"/>
      <w:r>
        <w:t>Undang-Undang</w:t>
      </w:r>
      <w:proofErr w:type="spellEnd"/>
      <w:r>
        <w:t xml:space="preserve"> Lalu Lintas dan Angkutan Jalan harus dilakukan secara cermat agar tidak terjadi pemidanaan yang keliru.</w:t>
      </w:r>
      <w:r>
        <w:rPr>
          <w:rStyle w:val="FootnoteReference"/>
        </w:rPr>
        <w:footnoteReference w:id="5"/>
      </w:r>
    </w:p>
    <w:p w14:paraId="7AF4C38A" w14:textId="77777777" w:rsidR="00521237" w:rsidRDefault="00E208D8">
      <w:pPr>
        <w:pStyle w:val="Heading3"/>
        <w:ind w:firstLine="709"/>
      </w:pPr>
      <w:bookmarkStart w:id="5" w:name="_Toc239063796"/>
      <w:r>
        <w:t xml:space="preserve">2. </w:t>
      </w:r>
      <w:proofErr w:type="spellStart"/>
      <w:r>
        <w:t>Asas-Asas</w:t>
      </w:r>
      <w:proofErr w:type="spellEnd"/>
      <w:r>
        <w:t xml:space="preserve"> Pertanggungjawaban Pidana</w:t>
      </w:r>
      <w:bookmarkEnd w:id="5"/>
    </w:p>
    <w:p w14:paraId="1AFE8650" w14:textId="77777777" w:rsidR="00521237" w:rsidRDefault="00E208D8">
      <w:pPr>
        <w:spacing w:line="480" w:lineRule="auto"/>
        <w:ind w:firstLine="709"/>
        <w:jc w:val="both"/>
      </w:pPr>
      <w:r>
        <w:t>Asas utama dalam pertanggungjawaban pidana adalah asas tiada pidana tanpa kesalahan. Asas ini menegaskan bahwa seseorang tidak boleh dipidana apabila tidak terdapat kesalahan pada dirinya. Dengan demikian, pemidanaan harus selalu didasarkan pada adanya perbuatan dan kesalahan yang dapat dipertanggungjawabkan.</w:t>
      </w:r>
      <w:r>
        <w:rPr>
          <w:rStyle w:val="FootnoteReference"/>
        </w:rPr>
        <w:footnoteReference w:id="6"/>
      </w:r>
    </w:p>
    <w:p w14:paraId="31737B50" w14:textId="77777777" w:rsidR="00521237" w:rsidRDefault="00E208D8">
      <w:pPr>
        <w:spacing w:line="480" w:lineRule="auto"/>
        <w:ind w:firstLine="709"/>
        <w:jc w:val="both"/>
      </w:pPr>
      <w:r>
        <w:t xml:space="preserve">Asas legalitas juga menjadi dasar penting dalam pertanggungjawaban pidana. Berdasarkan asas ini, seseorang hanya dapat dipidana apabila perbuatannya telah diatur sebagai tindak pidana dalam peraturan perundang-undangan. Dalam perkara lalu lintas, dasar pemidanaan terhadap pengemudi yang lalai dapat ditemukan dalam Pasal 310 </w:t>
      </w:r>
      <w:proofErr w:type="spellStart"/>
      <w:r>
        <w:t>Undang-Undang</w:t>
      </w:r>
      <w:proofErr w:type="spellEnd"/>
      <w:r>
        <w:t xml:space="preserve"> Nomor 22 Tahun 2009.</w:t>
      </w:r>
      <w:r>
        <w:rPr>
          <w:rStyle w:val="FootnoteReference"/>
        </w:rPr>
        <w:footnoteReference w:id="7"/>
      </w:r>
    </w:p>
    <w:p w14:paraId="364E7425" w14:textId="77777777" w:rsidR="00521237" w:rsidRDefault="00E208D8">
      <w:pPr>
        <w:spacing w:line="480" w:lineRule="auto"/>
        <w:ind w:firstLine="709"/>
        <w:jc w:val="both"/>
      </w:pPr>
      <w:r>
        <w:t xml:space="preserve">Selain asas legalitas, asas kesalahan berfungsi untuk menilai keadaan batin pelaku ketika melakukan perbuatan. Dalam kecelakaan lalu lintas, pengemudi dapat </w:t>
      </w:r>
      <w:r>
        <w:lastRenderedPageBreak/>
        <w:t>dipersalahkan apabila ia tidak berhati-hati, tidak konsentrasi, atau tidak mengutamakan keselamatan pengguna jalan lain.</w:t>
      </w:r>
      <w:r>
        <w:rPr>
          <w:rStyle w:val="FootnoteReference"/>
        </w:rPr>
        <w:footnoteReference w:id="8"/>
      </w:r>
    </w:p>
    <w:p w14:paraId="7ACA7F3D" w14:textId="77777777" w:rsidR="00521237" w:rsidRDefault="00E208D8">
      <w:pPr>
        <w:spacing w:line="480" w:lineRule="auto"/>
        <w:ind w:firstLine="709"/>
        <w:jc w:val="both"/>
      </w:pPr>
      <w:r>
        <w:t xml:space="preserve">Asas </w:t>
      </w:r>
      <w:proofErr w:type="spellStart"/>
      <w:r>
        <w:t>proporsionalitas</w:t>
      </w:r>
      <w:proofErr w:type="spellEnd"/>
      <w:r>
        <w:t xml:space="preserve"> juga penting dalam pertanggungjawaban pidana. Artinya, pidana yang dijatuhkan harus seimbang dengan tingkat kesalahan pelaku dan akibat yang ditimbulkan. Dalam kecelakaan lalu lintas, akibat berupa luka berat tentu memiliki konsekuensi hukum yang lebih serius dibandingkan luka ringan.</w:t>
      </w:r>
      <w:r>
        <w:rPr>
          <w:rStyle w:val="FootnoteReference"/>
        </w:rPr>
        <w:footnoteReference w:id="9"/>
      </w:r>
    </w:p>
    <w:p w14:paraId="45803228" w14:textId="77777777" w:rsidR="00521237" w:rsidRDefault="00E208D8">
      <w:pPr>
        <w:spacing w:line="480" w:lineRule="auto"/>
        <w:ind w:firstLine="709"/>
        <w:jc w:val="both"/>
      </w:pPr>
      <w:r>
        <w:t>Asas keadilan menjadi tujuan akhir dari pertanggungjawaban pidana. Penegakan hukum harus memberikan kepastian hukum bagi pelaku, perlindungan bagi korban, serta rasa keadilan bagi masyarakat. Oleh sebab itu, pembuktian unsur kelalaian dan luka berat harus dilakukan secara objektif.</w:t>
      </w:r>
      <w:r>
        <w:rPr>
          <w:rStyle w:val="FootnoteReference"/>
        </w:rPr>
        <w:footnoteReference w:id="10"/>
      </w:r>
    </w:p>
    <w:p w14:paraId="6211110E" w14:textId="77777777" w:rsidR="00521237" w:rsidRDefault="00E208D8">
      <w:pPr>
        <w:pStyle w:val="Heading3"/>
        <w:ind w:firstLine="709"/>
      </w:pPr>
      <w:bookmarkStart w:id="6" w:name="_Toc239063797"/>
      <w:r>
        <w:t xml:space="preserve">3. </w:t>
      </w:r>
      <w:proofErr w:type="spellStart"/>
      <w:r>
        <w:t>Unsur-Unsur</w:t>
      </w:r>
      <w:proofErr w:type="spellEnd"/>
      <w:r>
        <w:t xml:space="preserve"> Pertanggungjawaban Pidana</w:t>
      </w:r>
      <w:bookmarkEnd w:id="6"/>
    </w:p>
    <w:p w14:paraId="43C82ED6" w14:textId="77777777" w:rsidR="00521237" w:rsidRDefault="00E208D8">
      <w:pPr>
        <w:spacing w:line="480" w:lineRule="auto"/>
        <w:ind w:firstLine="709"/>
        <w:jc w:val="both"/>
      </w:pPr>
      <w:r>
        <w:t>Unsur pertama pertanggungjawaban pidana adalah adanya perbuatan pidana. Perbuatan tersebut harus memenuhi rumusan undang-undang yang berlaku. Dalam konteks penelitian ini, perbuatan yang dikaji adalah kelalaian dalam mengemudikan kendaraan bermotor yang mengakibatkan korban mengalami luka berat.</w:t>
      </w:r>
      <w:r>
        <w:rPr>
          <w:rStyle w:val="FootnoteReference"/>
        </w:rPr>
        <w:footnoteReference w:id="11"/>
      </w:r>
    </w:p>
    <w:p w14:paraId="71B99F08" w14:textId="77777777" w:rsidR="00521237" w:rsidRDefault="00E208D8">
      <w:pPr>
        <w:spacing w:line="480" w:lineRule="auto"/>
        <w:ind w:firstLine="709"/>
        <w:jc w:val="both"/>
      </w:pPr>
      <w:r>
        <w:t>Unsur kedua adalah adanya kesalahan dari pelaku. Kesalahan dapat berupa kesengajaan atau kelalaian. Dalam kecelakaan lalu lintas, kelalaian dapat terlihat dari tindakan pengemudi yang kurang hati-hati, tidak memperhatikan kondisi jalan, atau tidak memberikan prioritas keselamatan kepada pejalan kaki.</w:t>
      </w:r>
      <w:r>
        <w:rPr>
          <w:rStyle w:val="FootnoteReference"/>
        </w:rPr>
        <w:footnoteReference w:id="12"/>
      </w:r>
    </w:p>
    <w:p w14:paraId="7916E732" w14:textId="77777777" w:rsidR="00521237" w:rsidRDefault="00E208D8">
      <w:pPr>
        <w:spacing w:line="480" w:lineRule="auto"/>
        <w:ind w:firstLine="709"/>
        <w:jc w:val="both"/>
      </w:pPr>
      <w:r>
        <w:lastRenderedPageBreak/>
        <w:t>Unsur ketiga adalah kemampuan bertanggung jawab. Pengemudi yang sehat jasmani dan rohani, memiliki kesadaran, serta mampu memahami akibat perbuatannya dapat dimintai pertanggungjawaban pidana. Unsur ini penting untuk memastikan bahwa pelaku memang layak dimintai pertanggungjawaban secara hukum.</w:t>
      </w:r>
      <w:r>
        <w:rPr>
          <w:rStyle w:val="FootnoteReference"/>
        </w:rPr>
        <w:footnoteReference w:id="13"/>
      </w:r>
    </w:p>
    <w:p w14:paraId="7EB05B93" w14:textId="77777777" w:rsidR="00521237" w:rsidRDefault="00E208D8">
      <w:pPr>
        <w:spacing w:line="480" w:lineRule="auto"/>
        <w:ind w:firstLine="709"/>
        <w:jc w:val="both"/>
      </w:pPr>
      <w:r>
        <w:t>Unsur keempat adalah tidak adanya alasan pembenar atau alasan pemaaf. Jika terdapat keadaan tertentu yang menghapus sifat melawan hukum atau menghapus kesalahan pelaku, maka pertanggungjawaban pidana dapat dikesampingkan. Namun, dalam perkara kelalaian lalu lintas, alasan tersebut harus dibuktikan secara ketat.</w:t>
      </w:r>
      <w:r>
        <w:rPr>
          <w:rStyle w:val="FootnoteReference"/>
        </w:rPr>
        <w:footnoteReference w:id="14"/>
      </w:r>
    </w:p>
    <w:p w14:paraId="3CAA71BE" w14:textId="4ABB5751" w:rsidR="00521237" w:rsidRDefault="00E208D8" w:rsidP="00AF0C87">
      <w:pPr>
        <w:spacing w:line="480" w:lineRule="auto"/>
        <w:ind w:firstLine="709"/>
        <w:jc w:val="both"/>
      </w:pPr>
      <w:r>
        <w:t>Unsur kelima adalah adanya hubungan sebab akibat antara perbuatan pelaku dan akibat yang timbul. Dalam perkara kecelakaan lalu lintas, harus dibuktikan bahwa kelalaian pengemudi benar-benar menyebabkan terjadinya kecelakaan dan mengakibatkan korban mengalami luka berat.</w:t>
      </w:r>
      <w:r>
        <w:rPr>
          <w:rStyle w:val="FootnoteReference"/>
        </w:rPr>
        <w:footnoteReference w:id="15"/>
      </w:r>
    </w:p>
    <w:p w14:paraId="71DA5EE3" w14:textId="77777777" w:rsidR="00521237" w:rsidRDefault="00E208D8">
      <w:pPr>
        <w:pStyle w:val="Heading2"/>
        <w:rPr>
          <w:sz w:val="36"/>
          <w:szCs w:val="36"/>
        </w:rPr>
      </w:pPr>
      <w:bookmarkStart w:id="7" w:name="_Toc239063798"/>
      <w:r>
        <w:t xml:space="preserve">B. </w:t>
      </w:r>
      <w:r>
        <w:tab/>
        <w:t xml:space="preserve">Gambaran Umum </w:t>
      </w:r>
      <w:proofErr w:type="spellStart"/>
      <w:r>
        <w:t>Kecelakaan</w:t>
      </w:r>
      <w:bookmarkEnd w:id="7"/>
      <w:proofErr w:type="spellEnd"/>
    </w:p>
    <w:p w14:paraId="617714A3" w14:textId="77777777" w:rsidR="00521237" w:rsidRDefault="00E208D8">
      <w:pPr>
        <w:pStyle w:val="Heading3"/>
        <w:ind w:firstLine="709"/>
      </w:pPr>
      <w:bookmarkStart w:id="8" w:name="_Toc239063799"/>
      <w:r>
        <w:t>1. Pengertian Kecelakaan Lalu Lintas</w:t>
      </w:r>
      <w:bookmarkEnd w:id="8"/>
    </w:p>
    <w:p w14:paraId="305F99E4" w14:textId="77777777" w:rsidR="00521237" w:rsidRDefault="00E208D8">
      <w:pPr>
        <w:spacing w:line="480" w:lineRule="auto"/>
        <w:ind w:firstLine="709"/>
        <w:jc w:val="both"/>
      </w:pPr>
      <w:r>
        <w:t>Kecelakaan lalu lintas merupakan peristiwa yang terjadi di jalan secara tidak terduga dan tidak disengaja yang melibatkan kendaraan dengan atau tanpa pengguna jalan lain. Peristiwa ini dapat menimbulkan korban manusia, kerugian harta benda, atau gangguan terhadap kelancaran lalu lintas.</w:t>
      </w:r>
      <w:r>
        <w:rPr>
          <w:rStyle w:val="FootnoteReference"/>
        </w:rPr>
        <w:footnoteReference w:id="16"/>
      </w:r>
    </w:p>
    <w:p w14:paraId="5E9F9026" w14:textId="77777777" w:rsidR="00521237" w:rsidRDefault="00E208D8">
      <w:pPr>
        <w:spacing w:line="480" w:lineRule="auto"/>
        <w:ind w:firstLine="709"/>
        <w:jc w:val="both"/>
      </w:pPr>
      <w:r>
        <w:lastRenderedPageBreak/>
        <w:t>Dalam hukum lalu lintas, kecelakaan tidak hanya dipahami sebagai peristiwa biasa, tetapi juga sebagai peristiwa hukum apabila terdapat akibat yang merugikan orang lain. Apabila kecelakaan terjadi karena kelalaian pengemudi, maka peristiwa tersebut dapat menimbulkan pertanggungjawaban pidana.</w:t>
      </w:r>
      <w:r>
        <w:rPr>
          <w:rStyle w:val="FootnoteReference"/>
        </w:rPr>
        <w:footnoteReference w:id="17"/>
      </w:r>
    </w:p>
    <w:p w14:paraId="2A69F738" w14:textId="77777777" w:rsidR="00521237" w:rsidRDefault="00E208D8">
      <w:pPr>
        <w:spacing w:line="480" w:lineRule="auto"/>
        <w:ind w:firstLine="709"/>
        <w:jc w:val="both"/>
      </w:pPr>
      <w:r>
        <w:t>Kecelakaan lalu lintas dapat terjadi karena adanya pelanggaran terhadap prinsip kehati-hatian dalam berkendara. Pengemudi wajib memperhatikan kondisi jalan, kendaraan, rambu lalu lintas, serta keberadaan pengguna jalan lain. Apabila kewajiban tersebut diabaikan, maka kecelakaan dapat menjadi akibat dari kelalaian.</w:t>
      </w:r>
      <w:r>
        <w:rPr>
          <w:rStyle w:val="FootnoteReference"/>
        </w:rPr>
        <w:footnoteReference w:id="18"/>
      </w:r>
    </w:p>
    <w:p w14:paraId="3E3DEB06" w14:textId="77777777" w:rsidR="00521237" w:rsidRDefault="00E208D8">
      <w:pPr>
        <w:spacing w:line="480" w:lineRule="auto"/>
        <w:ind w:firstLine="709"/>
        <w:jc w:val="both"/>
      </w:pPr>
      <w:r>
        <w:t xml:space="preserve">Dalam konteks </w:t>
      </w:r>
      <w:proofErr w:type="spellStart"/>
      <w:r>
        <w:t>Undang-Undang</w:t>
      </w:r>
      <w:proofErr w:type="spellEnd"/>
      <w:r>
        <w:t xml:space="preserve"> Lalu Lintas dan Angkutan Jalan, kecelakaan lalu lintas memiliki hubungan erat dengan keselamatan pengguna jalan. Oleh karena itu, pengaturan mengenai kecelakaan tidak hanya bertujuan memberikan sanksi, tetapi juga mendorong pencegahan agar peristiwa serupa tidak terjadi kembali.</w:t>
      </w:r>
      <w:r>
        <w:rPr>
          <w:rStyle w:val="FootnoteReference"/>
        </w:rPr>
        <w:footnoteReference w:id="19"/>
      </w:r>
    </w:p>
    <w:p w14:paraId="686E0A30" w14:textId="77777777" w:rsidR="00521237" w:rsidRDefault="00E208D8">
      <w:pPr>
        <w:spacing w:line="480" w:lineRule="auto"/>
        <w:ind w:firstLine="709"/>
        <w:jc w:val="both"/>
      </w:pPr>
      <w:r>
        <w:t xml:space="preserve">Dengan demikian, kecelakaan lalu lintas dapat dipahami sebagai peristiwa di jalan yang menimbulkan akibat hukum, terutama apabila disebabkan oleh kelalaian pengemudi. Dalam penelitian ini, pengertian tersebut menjadi dasar untuk menganalisis kecelakaan yang mengakibatkan luka berat sebagaimana dikaji dalam penerapan Pasal 310 </w:t>
      </w:r>
      <w:proofErr w:type="spellStart"/>
      <w:r>
        <w:t>Undang-Undang</w:t>
      </w:r>
      <w:proofErr w:type="spellEnd"/>
      <w:r>
        <w:t xml:space="preserve"> Nomor 22 Tahun 2009.</w:t>
      </w:r>
    </w:p>
    <w:p w14:paraId="6089B870" w14:textId="77777777" w:rsidR="00521237" w:rsidRDefault="00E208D8">
      <w:pPr>
        <w:pStyle w:val="Heading3"/>
        <w:ind w:firstLine="709"/>
      </w:pPr>
      <w:bookmarkStart w:id="9" w:name="_Toc239063800"/>
      <w:r>
        <w:lastRenderedPageBreak/>
        <w:t xml:space="preserve">2. </w:t>
      </w:r>
      <w:proofErr w:type="spellStart"/>
      <w:r>
        <w:t>Faktor-Faktor</w:t>
      </w:r>
      <w:proofErr w:type="spellEnd"/>
      <w:r>
        <w:t xml:space="preserve"> Penyebab Kecelakaan</w:t>
      </w:r>
      <w:bookmarkEnd w:id="9"/>
    </w:p>
    <w:p w14:paraId="1E759B33" w14:textId="77777777" w:rsidR="00521237" w:rsidRDefault="00E208D8">
      <w:pPr>
        <w:spacing w:line="480" w:lineRule="auto"/>
        <w:ind w:firstLine="709"/>
        <w:jc w:val="both"/>
      </w:pPr>
      <w:r>
        <w:t>Faktor manusia merupakan penyebab utama yang paling sering menimbulkan kecelakaan lalu lintas. Faktor ini dapat berupa kelalaian, kurang konsentrasi, kelelahan, tidak mematuhi rambu lalu lintas, mengemudi dengan kecepatan tinggi, atau tidak memperhatikan keselamatan pengguna jalan lain.</w:t>
      </w:r>
      <w:r>
        <w:rPr>
          <w:rStyle w:val="FootnoteReference"/>
        </w:rPr>
        <w:footnoteReference w:id="20"/>
      </w:r>
    </w:p>
    <w:p w14:paraId="20CFA655" w14:textId="77777777" w:rsidR="00521237" w:rsidRDefault="00E208D8">
      <w:pPr>
        <w:spacing w:line="480" w:lineRule="auto"/>
        <w:ind w:firstLine="709"/>
        <w:jc w:val="both"/>
      </w:pPr>
      <w:r>
        <w:t>Selain faktor manusia, kondisi kendaraan juga dapat menjadi penyebab kecelakaan. Kendaraan yang tidak layak jalan, rem tidak berfungsi, lampu tidak menyala, ban aus, atau gangguan teknis lainnya dapat meningkatkan risiko kecelakaan. Oleh sebab itu, kelayakan kendaraan menjadi bagian penting dari keselamatan lalu lintas.</w:t>
      </w:r>
      <w:r>
        <w:rPr>
          <w:rStyle w:val="FootnoteReference"/>
        </w:rPr>
        <w:footnoteReference w:id="21"/>
      </w:r>
    </w:p>
    <w:p w14:paraId="592CC433" w14:textId="77777777" w:rsidR="00521237" w:rsidRDefault="00E208D8">
      <w:pPr>
        <w:spacing w:line="480" w:lineRule="auto"/>
        <w:ind w:firstLine="709"/>
        <w:jc w:val="both"/>
      </w:pPr>
      <w:r>
        <w:t>Faktor jalan juga berpengaruh terhadap terjadinya kecelakaan lalu lintas. Jalan yang rusak, berlubang, licin, kurang penerangan, atau tidak memiliki rambu yang memadai dapat membahayakan pengguna jalan. Kondisi jalan yang tidak aman dapat memperbesar kemungkinan terjadinya kecelakaan, terutama pada malam hari atau saat cuaca buruk.</w:t>
      </w:r>
      <w:r>
        <w:rPr>
          <w:rStyle w:val="FootnoteReference"/>
        </w:rPr>
        <w:footnoteReference w:id="22"/>
      </w:r>
    </w:p>
    <w:p w14:paraId="256FB0A5" w14:textId="77777777" w:rsidR="00521237" w:rsidRDefault="00E208D8">
      <w:pPr>
        <w:spacing w:line="480" w:lineRule="auto"/>
        <w:ind w:firstLine="709"/>
        <w:jc w:val="both"/>
      </w:pPr>
      <w:r>
        <w:t>Faktor lingkungan juga tidak dapat diabaikan dalam terjadinya kecelakaan. Cuaca hujan, kabut, genangan air, kepadatan lalu lintas, serta aktivitas masyarakat di sekitar jalan dapat memengaruhi kemampuan pengemudi dalam mengendalikan kendaraan. Dalam keadaan demikian, pengemudi dituntut untuk lebih berhati-hati.</w:t>
      </w:r>
      <w:r>
        <w:rPr>
          <w:rStyle w:val="FootnoteReference"/>
        </w:rPr>
        <w:footnoteReference w:id="23"/>
      </w:r>
    </w:p>
    <w:p w14:paraId="48D874CB" w14:textId="77777777" w:rsidR="00521237" w:rsidRDefault="00E208D8">
      <w:pPr>
        <w:spacing w:line="480" w:lineRule="auto"/>
        <w:ind w:firstLine="709"/>
        <w:jc w:val="both"/>
      </w:pPr>
      <w:r>
        <w:lastRenderedPageBreak/>
        <w:t>Berdasarkan faktor-faktor tersebut, kecelakaan lalu lintas umumnya terjadi karena kombinasi antara kelalaian manusia, kondisi kendaraan, kondisi jalan, dan lingkungan. Namun, dalam perkara pidana lalu lintas, faktor yang paling penting untuk dibuktikan adalah apakah pengemudi memiliki kesalahan atau kelalaian yang menyebabkan terjadinya kecelakaan.</w:t>
      </w:r>
      <w:r>
        <w:rPr>
          <w:rStyle w:val="FootnoteReference"/>
        </w:rPr>
        <w:footnoteReference w:id="24"/>
      </w:r>
    </w:p>
    <w:p w14:paraId="33057B32" w14:textId="77777777" w:rsidR="00521237" w:rsidRDefault="00E208D8">
      <w:pPr>
        <w:pStyle w:val="Heading3"/>
        <w:ind w:firstLine="709"/>
      </w:pPr>
      <w:bookmarkStart w:id="10" w:name="_Toc239063801"/>
      <w:r>
        <w:t>3. Jenis-Jenis Kecelakaan Lalu Lintas</w:t>
      </w:r>
      <w:bookmarkEnd w:id="10"/>
    </w:p>
    <w:p w14:paraId="7453F2C5" w14:textId="77777777" w:rsidR="00521237" w:rsidRDefault="00E208D8">
      <w:pPr>
        <w:spacing w:line="480" w:lineRule="auto"/>
        <w:ind w:firstLine="709"/>
        <w:jc w:val="both"/>
      </w:pPr>
      <w:r>
        <w:t>Jenis kecelakaan lalu lintas dapat dibedakan berdasarkan akibat yang ditimbulkan. Kecelakaan ringan adalah kecelakaan yang hanya mengakibatkan kerusakan kendaraan atau barang tanpa menimbulkan korban luka. Jenis kecelakaan ini biasanya diselesaikan melalui mekanisme administratif atau ganti kerugian, sepanjang tidak terdapat unsur pidana yang berat.</w:t>
      </w:r>
      <w:r>
        <w:rPr>
          <w:rStyle w:val="FootnoteReference"/>
        </w:rPr>
        <w:footnoteReference w:id="25"/>
      </w:r>
    </w:p>
    <w:p w14:paraId="539565F4" w14:textId="77777777" w:rsidR="00521237" w:rsidRDefault="00E208D8">
      <w:pPr>
        <w:spacing w:line="480" w:lineRule="auto"/>
        <w:ind w:firstLine="709"/>
        <w:jc w:val="both"/>
      </w:pPr>
      <w:r>
        <w:t>Kecelakaan sedang adalah kecelakaan yang mengakibatkan korban mengalami luka ringan dan kerusakan kendaraan atau barang. Luka ringan pada umumnya tidak menyebabkan korban kehilangan fungsi tubuh secara permanen, tetapi tetap memerlukan penanganan medis. Dalam hukum lalu lintas, kecelakaan sedang tetap dapat menimbulkan pertanggungjawaban pidana apabila disebabkan oleh kelalaian.</w:t>
      </w:r>
      <w:r>
        <w:rPr>
          <w:rStyle w:val="FootnoteReference"/>
        </w:rPr>
        <w:footnoteReference w:id="26"/>
      </w:r>
    </w:p>
    <w:p w14:paraId="25751B2F" w14:textId="77777777" w:rsidR="00521237" w:rsidRDefault="00E208D8">
      <w:pPr>
        <w:spacing w:line="480" w:lineRule="auto"/>
        <w:ind w:firstLine="709"/>
        <w:jc w:val="both"/>
      </w:pPr>
      <w:r>
        <w:t xml:space="preserve">Kecelakaan berat adalah kecelakaan yang mengakibatkan korban meninggal dunia atau mengalami luka berat. Jenis kecelakaan ini memiliki konsekuensi hukum </w:t>
      </w:r>
      <w:r>
        <w:lastRenderedPageBreak/>
        <w:t>yang lebih serius karena akibat yang ditimbulkan menyangkut keselamatan jiwa atau kondisi fisik korban secara signifikan.</w:t>
      </w:r>
      <w:r>
        <w:rPr>
          <w:rStyle w:val="FootnoteReference"/>
        </w:rPr>
        <w:footnoteReference w:id="27"/>
      </w:r>
    </w:p>
    <w:p w14:paraId="18A08FE0" w14:textId="77777777" w:rsidR="00521237" w:rsidRDefault="00E208D8">
      <w:pPr>
        <w:spacing w:line="480" w:lineRule="auto"/>
        <w:ind w:firstLine="709"/>
        <w:jc w:val="both"/>
      </w:pPr>
      <w:r>
        <w:t>Selain berdasarkan akibat, kecelakaan juga dapat dibedakan berdasarkan pihak yang terlibat, seperti kecelakaan antara kendaraan dengan kendaraan, kendaraan dengan pejalan kaki, kendaraan tunggal, atau kendaraan dengan benda di sekitar jalan. Pembagian ini penting untuk mengetahui posisi masing-masing pihak dalam peristiwa kecelakaan.</w:t>
      </w:r>
      <w:r>
        <w:rPr>
          <w:rStyle w:val="FootnoteReference"/>
        </w:rPr>
        <w:footnoteReference w:id="28"/>
      </w:r>
    </w:p>
    <w:p w14:paraId="6C1E9C30" w14:textId="10118BFB" w:rsidR="00521237" w:rsidRDefault="00E208D8" w:rsidP="00AF0C87">
      <w:pPr>
        <w:spacing w:line="480" w:lineRule="auto"/>
        <w:ind w:firstLine="709"/>
        <w:jc w:val="both"/>
      </w:pPr>
      <w:r>
        <w:t xml:space="preserve">Dalam penelitian ini, jenis kecelakaan yang menjadi fokus adalah kecelakaan lalu lintas yang mengakibatkan luka berat. Fokus tersebut relevan dengan Pasal 310 ayat (3) </w:t>
      </w:r>
      <w:proofErr w:type="spellStart"/>
      <w:r>
        <w:t>Undang-Undang</w:t>
      </w:r>
      <w:proofErr w:type="spellEnd"/>
      <w:r>
        <w:t xml:space="preserve"> Nomor 22 Tahun 2009, karena akibat berupa luka berat menjadi dasar penerapan sanksi pidana terhadap pengemudi yang lalai.</w:t>
      </w:r>
    </w:p>
    <w:p w14:paraId="6D5ADDA3" w14:textId="77777777" w:rsidR="00521237" w:rsidRDefault="00E208D8">
      <w:pPr>
        <w:pStyle w:val="Heading2"/>
        <w:rPr>
          <w:sz w:val="36"/>
          <w:szCs w:val="36"/>
        </w:rPr>
      </w:pPr>
      <w:bookmarkStart w:id="11" w:name="_Toc239063802"/>
      <w:r>
        <w:t xml:space="preserve">C. </w:t>
      </w:r>
      <w:r>
        <w:tab/>
        <w:t>Gambaran Umum Lalu Lintas</w:t>
      </w:r>
      <w:bookmarkEnd w:id="11"/>
    </w:p>
    <w:p w14:paraId="51F5AE53" w14:textId="77777777" w:rsidR="00521237" w:rsidRDefault="00E208D8">
      <w:pPr>
        <w:pStyle w:val="Heading3"/>
        <w:ind w:firstLine="709"/>
      </w:pPr>
      <w:bookmarkStart w:id="12" w:name="_Toc239063803"/>
      <w:r>
        <w:t>1. Pengertian Lalu Lintas dan Angkutan Jalan</w:t>
      </w:r>
      <w:bookmarkEnd w:id="12"/>
    </w:p>
    <w:p w14:paraId="592D8695" w14:textId="77777777" w:rsidR="00521237" w:rsidRDefault="00E208D8">
      <w:pPr>
        <w:spacing w:line="480" w:lineRule="auto"/>
        <w:ind w:firstLine="709"/>
        <w:jc w:val="both"/>
      </w:pPr>
      <w:r>
        <w:t>Lalu lintas merupakan gerak kendaraan dan orang di ruang lalu lintas jalan. Pengertian ini menunjukkan bahwa lalu lintas tidak hanya berkaitan dengan kendaraan bermotor, tetapi juga mencakup pejalan kaki sebagai bagian dari pengguna jalan. Oleh karena itu, pengaturan lalu lintas harus memperhatikan keselamatan seluruh pihak yang berada di jalan.</w:t>
      </w:r>
      <w:r>
        <w:rPr>
          <w:rStyle w:val="FootnoteReference"/>
        </w:rPr>
        <w:footnoteReference w:id="29"/>
      </w:r>
    </w:p>
    <w:p w14:paraId="4290F991" w14:textId="77777777" w:rsidR="00521237" w:rsidRDefault="00E208D8">
      <w:pPr>
        <w:spacing w:line="480" w:lineRule="auto"/>
        <w:ind w:firstLine="709"/>
        <w:jc w:val="both"/>
      </w:pPr>
      <w:r>
        <w:t xml:space="preserve">Angkutan jalan merupakan kegiatan perpindahan orang dan/atau barang dari satu tempat ke tempat lain dengan menggunakan kendaraan di ruang lalu lintas </w:t>
      </w:r>
      <w:r>
        <w:lastRenderedPageBreak/>
        <w:t>jalan. Dalam kehidupan masyarakat, angkutan jalan memiliki fungsi penting karena mendukung aktivitas ekonomi, sosial, pendidikan, dan pelayanan publik.</w:t>
      </w:r>
      <w:r>
        <w:rPr>
          <w:rStyle w:val="FootnoteReference"/>
        </w:rPr>
        <w:footnoteReference w:id="30"/>
      </w:r>
    </w:p>
    <w:p w14:paraId="4EC2F7AE" w14:textId="77777777" w:rsidR="00521237" w:rsidRDefault="00E208D8">
      <w:pPr>
        <w:spacing w:line="480" w:lineRule="auto"/>
        <w:ind w:firstLine="709"/>
        <w:jc w:val="both"/>
      </w:pPr>
      <w:r>
        <w:t>Lalu lintas dan angkutan jalan merupakan satu kesatuan sistem yang saling berhubungan. Sistem tersebut mencakup kendaraan, pengemudi, pengguna jalan, prasarana jalan, serta aturan hukum yang mengatur ketertiban dan keselamatan berlalu lintas. Apabila salah satu unsur tersebut tidak berjalan baik, maka risiko kecelakaan dapat meningkat.</w:t>
      </w:r>
      <w:r>
        <w:rPr>
          <w:rStyle w:val="FootnoteReference"/>
        </w:rPr>
        <w:footnoteReference w:id="31"/>
      </w:r>
    </w:p>
    <w:p w14:paraId="28A4BD68" w14:textId="77777777" w:rsidR="00521237" w:rsidRDefault="00E208D8">
      <w:pPr>
        <w:spacing w:line="480" w:lineRule="auto"/>
        <w:ind w:firstLine="709"/>
        <w:jc w:val="both"/>
      </w:pPr>
      <w:r>
        <w:t>Dalam perspektif hukum, lalu lintas bukan hanya persoalan teknis pergerakan kendaraan, tetapi juga persoalan tanggung jawab hukum. Setiap pengguna jalan wajib mematuhi aturan yang berlaku agar tidak membahayakan diri sendiri maupun orang lain. Karena itu, pelanggaran terhadap aturan lalu lintas dapat menimbulkan sanksi administratif maupun pidana.</w:t>
      </w:r>
      <w:r>
        <w:rPr>
          <w:rStyle w:val="FootnoteReference"/>
        </w:rPr>
        <w:footnoteReference w:id="32"/>
      </w:r>
    </w:p>
    <w:p w14:paraId="53030789" w14:textId="77777777" w:rsidR="00521237" w:rsidRDefault="00E208D8">
      <w:pPr>
        <w:spacing w:line="480" w:lineRule="auto"/>
        <w:ind w:firstLine="709"/>
        <w:jc w:val="both"/>
      </w:pPr>
      <w:r>
        <w:t>Dengan demikian, lalu lintas dan angkutan jalan dapat dipahami sebagai sistem pergerakan orang dan barang di jalan yang harus diselenggarakan secara tertib, aman, lancar, dan bertanggung jawab. Pemahaman ini penting dalam penelitian karena kecelakaan lalu lintas yang mengakibatkan luka berat tidak dapat dilepaskan dari kewajiban hukum pengemudi dalam menggunakan ruang jalan.</w:t>
      </w:r>
      <w:r>
        <w:rPr>
          <w:rStyle w:val="FootnoteReference"/>
        </w:rPr>
        <w:footnoteReference w:id="33"/>
      </w:r>
    </w:p>
    <w:p w14:paraId="3644FAEC" w14:textId="77777777" w:rsidR="00521237" w:rsidRDefault="00E208D8">
      <w:pPr>
        <w:pStyle w:val="Heading3"/>
        <w:ind w:firstLine="709"/>
      </w:pPr>
      <w:bookmarkStart w:id="13" w:name="_Toc239063804"/>
      <w:r>
        <w:t>2. Dasar Hukum Lalu Lintas (UU No. 22 Tahun 2009)</w:t>
      </w:r>
      <w:bookmarkEnd w:id="13"/>
    </w:p>
    <w:p w14:paraId="0F5AF5A5" w14:textId="77777777" w:rsidR="00521237" w:rsidRDefault="00E208D8">
      <w:pPr>
        <w:spacing w:line="480" w:lineRule="auto"/>
        <w:ind w:firstLine="709"/>
        <w:jc w:val="both"/>
      </w:pPr>
      <w:r>
        <w:t xml:space="preserve">Dasar hukum utama yang mengatur lalu lintas dan angkutan jalan di Indonesia adalah </w:t>
      </w:r>
      <w:proofErr w:type="spellStart"/>
      <w:r>
        <w:t>Undang-Undang</w:t>
      </w:r>
      <w:proofErr w:type="spellEnd"/>
      <w:r>
        <w:t xml:space="preserve"> Nomor 22 Tahun 2009 tentang Lalu Lintas dan Angkutan Jalan. Undang-undang ini mengatur berbagai aspek, mulai dari </w:t>
      </w:r>
      <w:r>
        <w:lastRenderedPageBreak/>
        <w:t>penyelenggaraan lalu lintas, kendaraan, pengemudi, pengguna jalan, kecelakaan, hingga ketentuan pidana.</w:t>
      </w:r>
      <w:r>
        <w:rPr>
          <w:rStyle w:val="FootnoteReference"/>
        </w:rPr>
        <w:footnoteReference w:id="34"/>
      </w:r>
    </w:p>
    <w:p w14:paraId="2F8E807A" w14:textId="77777777" w:rsidR="00521237" w:rsidRDefault="00E208D8">
      <w:pPr>
        <w:spacing w:line="480" w:lineRule="auto"/>
        <w:ind w:firstLine="709"/>
        <w:jc w:val="both"/>
      </w:pPr>
      <w:proofErr w:type="spellStart"/>
      <w:r>
        <w:t>Undang-Undang</w:t>
      </w:r>
      <w:proofErr w:type="spellEnd"/>
      <w:r>
        <w:t xml:space="preserve"> Nomor 22 Tahun 2009 menegaskan bahwa lalu lintas dan angkutan jalan diselenggarakan dengan tujuan mewujudkan pelayanan yang aman, selamat, tertib, lancar, dan terpadu. Tujuan ini menunjukkan bahwa hukum lalu lintas tidak hanya bersifat represif, tetapi juga preventif untuk mencegah kecelakaan dan melindungi pengguna jalan.</w:t>
      </w:r>
      <w:r>
        <w:rPr>
          <w:rStyle w:val="FootnoteReference"/>
        </w:rPr>
        <w:footnoteReference w:id="35"/>
      </w:r>
    </w:p>
    <w:p w14:paraId="08E39161" w14:textId="77777777" w:rsidR="00521237" w:rsidRDefault="00E208D8">
      <w:pPr>
        <w:spacing w:line="480" w:lineRule="auto"/>
        <w:ind w:firstLine="709"/>
        <w:jc w:val="both"/>
      </w:pPr>
      <w:r>
        <w:t>Salah satu ketentuan penting dalam undang-undang ini adalah kewajiban pengemudi untuk mengemudikan kendaraan secara wajar dan penuh konsentrasi. Kewajiban tersebut menjadi dasar untuk menilai apakah pengemudi telah bertindak hati-hati atau justru lalai dalam mengemudikan kendaraan.</w:t>
      </w:r>
      <w:r>
        <w:rPr>
          <w:rStyle w:val="FootnoteReference"/>
        </w:rPr>
        <w:footnoteReference w:id="36"/>
      </w:r>
    </w:p>
    <w:p w14:paraId="1D4CED8A" w14:textId="77777777" w:rsidR="00521237" w:rsidRDefault="00E208D8">
      <w:pPr>
        <w:spacing w:line="480" w:lineRule="auto"/>
        <w:ind w:firstLine="709"/>
        <w:jc w:val="both"/>
      </w:pPr>
      <w:proofErr w:type="spellStart"/>
      <w:r>
        <w:t>Undang-Undang</w:t>
      </w:r>
      <w:proofErr w:type="spellEnd"/>
      <w:r>
        <w:t xml:space="preserve"> Nomor 22 Tahun 2009 juga mengatur kewajiban pengemudi untuk mengutamakan keselamatan pejalan kaki dan pesepeda. Ketentuan ini penting karena pejalan kaki merupakan pengguna jalan yang memiliki tingkat kerentanan lebih tinggi dibandingkan pengendara kendaraan bermotor.</w:t>
      </w:r>
      <w:r>
        <w:rPr>
          <w:rStyle w:val="FootnoteReference"/>
        </w:rPr>
        <w:footnoteReference w:id="37"/>
      </w:r>
    </w:p>
    <w:p w14:paraId="2B417C8F" w14:textId="77777777" w:rsidR="00521237" w:rsidRDefault="00E208D8">
      <w:pPr>
        <w:spacing w:line="480" w:lineRule="auto"/>
        <w:ind w:firstLine="709"/>
        <w:jc w:val="both"/>
      </w:pPr>
      <w:r>
        <w:t xml:space="preserve">Dalam perkara kecelakaan lalu lintas yang mengakibatkan luka berat, Pasal 310 ayat (3) menjadi dasar hukum pidana yang sangat relevan. Pasal tersebut mengatur bahwa setiap orang yang mengemudikan kendaraan bermotor karena </w:t>
      </w:r>
      <w:r>
        <w:lastRenderedPageBreak/>
        <w:t>kelalaiannya mengakibatkan kecelakaan lalu lintas dengan korban luka berat dapat dikenakan pidana.</w:t>
      </w:r>
      <w:r>
        <w:rPr>
          <w:rStyle w:val="FootnoteReference"/>
        </w:rPr>
        <w:footnoteReference w:id="38"/>
      </w:r>
    </w:p>
    <w:p w14:paraId="0A5440FC" w14:textId="77777777" w:rsidR="00521237" w:rsidRDefault="00E208D8">
      <w:pPr>
        <w:pStyle w:val="Heading3"/>
        <w:ind w:firstLine="709"/>
      </w:pPr>
      <w:bookmarkStart w:id="14" w:name="_Toc239063805"/>
      <w:r>
        <w:t>3. Hak dan Kewajiban Pengguna Jalan</w:t>
      </w:r>
      <w:bookmarkEnd w:id="14"/>
    </w:p>
    <w:p w14:paraId="5D4DBE84" w14:textId="77777777" w:rsidR="00521237" w:rsidRDefault="00E208D8">
      <w:pPr>
        <w:spacing w:line="480" w:lineRule="auto"/>
        <w:ind w:firstLine="709"/>
        <w:jc w:val="both"/>
      </w:pPr>
      <w:r>
        <w:t>Pengguna jalan memiliki hak untuk memperoleh keselamatan, keamanan, ketertiban, dan kelancaran dalam berlalu lintas. Hak tersebut harus dijamin oleh negara melalui pengaturan hukum, penyediaan prasarana jalan, serta penegakan hukum terhadap pelanggaran lalu lintas.</w:t>
      </w:r>
      <w:r>
        <w:rPr>
          <w:rStyle w:val="FootnoteReference"/>
        </w:rPr>
        <w:footnoteReference w:id="39"/>
      </w:r>
    </w:p>
    <w:p w14:paraId="0A92A5EC" w14:textId="77777777" w:rsidR="00521237" w:rsidRDefault="00E208D8">
      <w:pPr>
        <w:spacing w:line="480" w:lineRule="auto"/>
        <w:ind w:firstLine="709"/>
        <w:jc w:val="both"/>
      </w:pPr>
      <w:r>
        <w:t>Selain memiliki hak, pengguna jalan juga memiliki kewajiban untuk mematuhi rambu lalu lintas, marka jalan, alat pemberi isyarat lalu lintas, serta petunjuk petugas di lapangan. Kewajiban ini berlaku bagi seluruh pengguna jalan, baik pengemudi kendaraan bermotor, pengendara sepeda, maupun pejalan kaki.</w:t>
      </w:r>
      <w:r>
        <w:rPr>
          <w:rStyle w:val="FootnoteReference"/>
        </w:rPr>
        <w:footnoteReference w:id="40"/>
      </w:r>
    </w:p>
    <w:p w14:paraId="36F40BA7" w14:textId="77777777" w:rsidR="00521237" w:rsidRDefault="00E208D8">
      <w:pPr>
        <w:spacing w:line="480" w:lineRule="auto"/>
        <w:ind w:firstLine="709"/>
        <w:jc w:val="both"/>
      </w:pPr>
      <w:r>
        <w:t>Pejalan kaki sebagai pengguna jalan juga memiliki hak atas fasilitas pendukung, seperti trotoar, tempat penyeberangan, dan fasilitas keselamatan lainnya. Perlindungan terhadap pejalan kaki menjadi penting karena pejalan kaki memiliki risiko lebih besar mengalami luka apabila terjadi kecelakaan dengan kendaraan bermotor.</w:t>
      </w:r>
      <w:r>
        <w:rPr>
          <w:rStyle w:val="FootnoteReference"/>
        </w:rPr>
        <w:footnoteReference w:id="41"/>
      </w:r>
    </w:p>
    <w:p w14:paraId="4B6FD2FE" w14:textId="77777777" w:rsidR="00521237" w:rsidRDefault="00E208D8">
      <w:pPr>
        <w:spacing w:line="480" w:lineRule="auto"/>
        <w:ind w:firstLine="709"/>
        <w:jc w:val="both"/>
      </w:pPr>
      <w:r>
        <w:t xml:space="preserve">Pengemudi kendaraan bermotor memiliki kewajiban lebih besar karena mengendalikan alat transportasi yang dapat menimbulkan bahaya bagi orang lain. Pengemudi wajib berhati-hati, menjaga kecepatan, memperhatikan kondisi sekitar, </w:t>
      </w:r>
      <w:r>
        <w:lastRenderedPageBreak/>
        <w:t>dan tidak melakukan tindakan yang dapat membahayakan keselamatan pengguna jalan lain.</w:t>
      </w:r>
      <w:r>
        <w:rPr>
          <w:rStyle w:val="FootnoteReference"/>
        </w:rPr>
        <w:footnoteReference w:id="42"/>
      </w:r>
    </w:p>
    <w:p w14:paraId="1BFE4580" w14:textId="77777777" w:rsidR="00521237" w:rsidRDefault="00E208D8">
      <w:pPr>
        <w:spacing w:line="480" w:lineRule="auto"/>
        <w:ind w:firstLine="709"/>
        <w:jc w:val="both"/>
      </w:pPr>
      <w:r>
        <w:t>Dengan demikian, hak dan kewajiban pengguna jalan harus berjalan seimbang. Hak untuk menggunakan jalan harus disertai kewajiban untuk mematuhi aturan dan menghormati keselamatan orang lain. Dalam perkara kecelakaan lalu lintas, ketidakseimbangan antara hak dan kewajiban sering menjadi penyebab timbulnya kelalaian yang berujung pada pertanggungjawaban pidana.</w:t>
      </w:r>
      <w:r>
        <w:rPr>
          <w:rStyle w:val="FootnoteReference"/>
        </w:rPr>
        <w:footnoteReference w:id="43"/>
      </w:r>
    </w:p>
    <w:p w14:paraId="04BCF035" w14:textId="77777777" w:rsidR="00521237" w:rsidRDefault="00E208D8">
      <w:pPr>
        <w:pStyle w:val="Heading3"/>
        <w:ind w:firstLine="709"/>
      </w:pPr>
      <w:bookmarkStart w:id="15" w:name="_Toc239063806"/>
      <w:r>
        <w:t>4. Peran Pengemudi dalam Keselamatan Lalu Lintas</w:t>
      </w:r>
      <w:bookmarkEnd w:id="15"/>
    </w:p>
    <w:p w14:paraId="5F57D747" w14:textId="77777777" w:rsidR="00521237" w:rsidRDefault="00E208D8">
      <w:pPr>
        <w:spacing w:line="480" w:lineRule="auto"/>
        <w:ind w:firstLine="709"/>
        <w:jc w:val="both"/>
      </w:pPr>
      <w:r>
        <w:t>Pengemudi memiliki peran sentral dalam keselamatan lalu lintas karena pengemudi secara langsung mengendalikan kendaraan di jalan. Keselamatan berlalu lintas sangat bergantung pada kemampuan pengemudi dalam membaca situasi, mengendalikan kendaraan, dan mengambil keputusan secara tepat.</w:t>
      </w:r>
      <w:r>
        <w:rPr>
          <w:rStyle w:val="FootnoteReference"/>
        </w:rPr>
        <w:footnoteReference w:id="44"/>
      </w:r>
    </w:p>
    <w:p w14:paraId="47EA9735" w14:textId="77777777" w:rsidR="00521237" w:rsidRDefault="00E208D8">
      <w:pPr>
        <w:spacing w:line="480" w:lineRule="auto"/>
        <w:ind w:firstLine="709"/>
        <w:jc w:val="both"/>
      </w:pPr>
      <w:r>
        <w:t>Seorang pengemudi wajib memiliki konsentrasi penuh ketika berkendara. Konsentrasi diperlukan agar pengemudi dapat memperhatikan kondisi jalan, keberadaan kendaraan lain, pejalan kaki, rambu lalu lintas, serta potensi bahaya yang muncul secara tiba-tiba. Kurangnya konsentrasi dapat menjadi bentuk kelalaian dalam hukum pidana lalu lintas.</w:t>
      </w:r>
      <w:r>
        <w:rPr>
          <w:rStyle w:val="FootnoteReference"/>
        </w:rPr>
        <w:footnoteReference w:id="45"/>
      </w:r>
    </w:p>
    <w:p w14:paraId="0DB7B2FC" w14:textId="77777777" w:rsidR="00521237" w:rsidRDefault="00E208D8">
      <w:pPr>
        <w:spacing w:line="480" w:lineRule="auto"/>
        <w:ind w:firstLine="709"/>
        <w:jc w:val="both"/>
      </w:pPr>
      <w:r>
        <w:t xml:space="preserve">Pengemudi juga berperan dalam mencegah kecelakaan dengan mematuhi batas kecepatan dan menjaga jarak aman. Kecepatan yang tidak sesuai dengan kondisi jalan dapat mengurangi kemampuan pengemudi untuk menghindari </w:t>
      </w:r>
      <w:r>
        <w:lastRenderedPageBreak/>
        <w:t>tabrakan. Oleh karena itu, kehati-hatian menjadi prinsip utama dalam mengemudikan kendaraan bermotor.</w:t>
      </w:r>
      <w:r>
        <w:rPr>
          <w:rStyle w:val="FootnoteReference"/>
        </w:rPr>
        <w:footnoteReference w:id="46"/>
      </w:r>
    </w:p>
    <w:p w14:paraId="5B5A2225" w14:textId="77777777" w:rsidR="00521237" w:rsidRDefault="00E208D8">
      <w:pPr>
        <w:spacing w:line="480" w:lineRule="auto"/>
        <w:ind w:firstLine="709"/>
        <w:jc w:val="both"/>
      </w:pPr>
      <w:r>
        <w:t>Dalam hubungan dengan pejalan kaki, pengemudi wajib memberikan prioritas keselamatan. Hal ini penting karena pejalan kaki tidak memiliki perlindungan fisik sebagaimana pengendara kendaraan bermotor. Apabila pengemudi tidak memperhatikan keberadaan pejalan kaki dan mengakibatkan kecelakaan, maka hal tersebut dapat menjadi dasar penilaian adanya kelalaian.</w:t>
      </w:r>
      <w:r>
        <w:rPr>
          <w:rStyle w:val="FootnoteReference"/>
        </w:rPr>
        <w:footnoteReference w:id="47"/>
      </w:r>
    </w:p>
    <w:p w14:paraId="51941CF2" w14:textId="0C33CF97" w:rsidR="00521237" w:rsidRDefault="00E208D8" w:rsidP="00AF0C87">
      <w:pPr>
        <w:spacing w:line="480" w:lineRule="auto"/>
        <w:ind w:firstLine="709"/>
        <w:jc w:val="both"/>
      </w:pPr>
      <w:r>
        <w:t xml:space="preserve">Dengan demikian, peran pengemudi dalam keselamatan lalu lintas tidak hanya bersifat teknis, tetapi juga memiliki konsekuensi hukum. Apabila pengemudi lalai dan kelalaiannya mengakibatkan korban mengalami luka berat, maka pengemudi dapat dimintai pertanggungjawaban pidana berdasarkan Pasal 310 </w:t>
      </w:r>
      <w:proofErr w:type="spellStart"/>
      <w:r>
        <w:t>Undang-Undang</w:t>
      </w:r>
      <w:proofErr w:type="spellEnd"/>
      <w:r>
        <w:t xml:space="preserve"> Nomor 22 Tahun 2009.</w:t>
      </w:r>
      <w:r>
        <w:rPr>
          <w:rStyle w:val="FootnoteReference"/>
        </w:rPr>
        <w:footnoteReference w:id="48"/>
      </w:r>
    </w:p>
    <w:p w14:paraId="3A2743C2" w14:textId="77777777" w:rsidR="00521237" w:rsidRDefault="00E208D8">
      <w:pPr>
        <w:pStyle w:val="Heading2"/>
        <w:rPr>
          <w:sz w:val="36"/>
          <w:szCs w:val="36"/>
        </w:rPr>
      </w:pPr>
      <w:bookmarkStart w:id="16" w:name="_Toc239063807"/>
      <w:r>
        <w:t xml:space="preserve">D. </w:t>
      </w:r>
      <w:r>
        <w:tab/>
        <w:t>Gambaran Umum Luka Berat</w:t>
      </w:r>
      <w:bookmarkEnd w:id="16"/>
    </w:p>
    <w:p w14:paraId="0F5F4D22" w14:textId="77777777" w:rsidR="00521237" w:rsidRDefault="00E208D8">
      <w:pPr>
        <w:pStyle w:val="Heading3"/>
        <w:ind w:firstLine="709"/>
      </w:pPr>
      <w:bookmarkStart w:id="17" w:name="_Toc239063808"/>
      <w:r>
        <w:t>1. Pengertian Luka Berat dalam Hukum Pidana</w:t>
      </w:r>
      <w:bookmarkEnd w:id="17"/>
    </w:p>
    <w:p w14:paraId="561EDB28" w14:textId="77777777" w:rsidR="00521237" w:rsidRDefault="00E208D8">
      <w:pPr>
        <w:spacing w:line="480" w:lineRule="auto"/>
        <w:ind w:firstLine="709"/>
        <w:jc w:val="both"/>
      </w:pPr>
      <w:r>
        <w:t>Luka berat dalam hukum pidana merupakan akibat fisik yang dialami seseorang karena suatu perbuatan pidana dan menimbulkan gangguan serius terhadap tubuh atau kesehatan korban. Luka berat tidak hanya dimaknai sebagai luka yang terlihat secara fisik, tetapi juga mencakup keadaan yang menyebabkan korban mengalami penderitaan serius, kehilangan fungsi tubuh tertentu, atau memerlukan perawatan dalam waktu tertentu.</w:t>
      </w:r>
      <w:r>
        <w:rPr>
          <w:rStyle w:val="FootnoteReference"/>
        </w:rPr>
        <w:footnoteReference w:id="49"/>
      </w:r>
    </w:p>
    <w:p w14:paraId="78CA6425" w14:textId="77777777" w:rsidR="00521237" w:rsidRDefault="00E208D8">
      <w:pPr>
        <w:spacing w:line="480" w:lineRule="auto"/>
        <w:ind w:firstLine="709"/>
        <w:jc w:val="both"/>
      </w:pPr>
      <w:r>
        <w:lastRenderedPageBreak/>
        <w:t>Dalam perkara kecelakaan lalu lintas, luka berat menjadi akibat hukum yang penting karena menentukan berat ringannya pertanggungjawaban pidana pengemudi. Apabila kelalaian pengemudi hanya menimbulkan luka ringan, maka ancaman pidananya berbeda dengan kecelakaan yang mengakibatkan luka berat. Oleh sebab itu, klasifikasi luka korban harus dinilai secara cermat berdasarkan hukum dan bukti medis.</w:t>
      </w:r>
      <w:r>
        <w:rPr>
          <w:rStyle w:val="FootnoteReference"/>
        </w:rPr>
        <w:footnoteReference w:id="50"/>
      </w:r>
    </w:p>
    <w:p w14:paraId="0770DEC0" w14:textId="77777777" w:rsidR="00521237" w:rsidRDefault="00E208D8">
      <w:pPr>
        <w:spacing w:line="480" w:lineRule="auto"/>
        <w:ind w:firstLine="709"/>
        <w:jc w:val="both"/>
      </w:pPr>
      <w:r>
        <w:t>Luka berat pada dasarnya menunjukkan adanya akibat yang lebih serius dibandingkan luka biasa. Korban dapat mengalami gangguan kesehatan, penderitaan berkepanjangan, hambatan dalam menjalankan aktivitas, atau bahkan kehilangan kemampuan tertentu. Dalam konteks hukum pidana, akibat tersebut menjadi dasar untuk memperberat pertanggungjawaban pelaku.</w:t>
      </w:r>
      <w:r>
        <w:rPr>
          <w:rStyle w:val="FootnoteReference"/>
        </w:rPr>
        <w:footnoteReference w:id="51"/>
      </w:r>
    </w:p>
    <w:p w14:paraId="101E103E" w14:textId="77777777" w:rsidR="00521237" w:rsidRDefault="00E208D8">
      <w:pPr>
        <w:spacing w:line="480" w:lineRule="auto"/>
        <w:ind w:firstLine="709"/>
        <w:jc w:val="both"/>
      </w:pPr>
      <w:r>
        <w:t>Pengertian luka berat juga berkaitan dengan perlindungan hukum terhadap korban. Negara melalui hukum pidana memberikan perlindungan terhadap tubuh dan kesehatan manusia sebagai kepentingan hukum yang sangat penting. Oleh karena itu, setiap perbuatan yang menyebabkan orang lain mengalami luka berat harus dianalisis secara serius untuk menentukan ada tidaknya pertanggungjawaban pidana.</w:t>
      </w:r>
      <w:r>
        <w:rPr>
          <w:rStyle w:val="FootnoteReference"/>
        </w:rPr>
        <w:footnoteReference w:id="52"/>
      </w:r>
    </w:p>
    <w:p w14:paraId="6C61DF9B" w14:textId="77777777" w:rsidR="00521237" w:rsidRDefault="00E208D8">
      <w:pPr>
        <w:spacing w:line="480" w:lineRule="auto"/>
        <w:ind w:firstLine="709"/>
        <w:jc w:val="both"/>
      </w:pPr>
      <w:r>
        <w:t xml:space="preserve">Dengan demikian, luka berat dapat dipahami sebagai akibat serius terhadap tubuh atau kesehatan korban yang memiliki konsekuensi hukum pidana. Dalam penelitian ini, pengertian luka berat digunakan untuk menilai apakah akibat yang dialami korban dalam perkara kecelakaan lalu lintas di Polres Tebing Tinggi telah </w:t>
      </w:r>
      <w:r>
        <w:lastRenderedPageBreak/>
        <w:t xml:space="preserve">memenuhi unsur luka berat sebagaimana dimaksud dalam Pasal 310 ayat (3) </w:t>
      </w:r>
      <w:proofErr w:type="spellStart"/>
      <w:r>
        <w:t>Undang-Undang</w:t>
      </w:r>
      <w:proofErr w:type="spellEnd"/>
      <w:r>
        <w:t xml:space="preserve"> Nomor 22 Tahun 2009.</w:t>
      </w:r>
    </w:p>
    <w:p w14:paraId="01CC2949" w14:textId="77777777" w:rsidR="00521237" w:rsidRDefault="00E208D8">
      <w:pPr>
        <w:pStyle w:val="Heading3"/>
        <w:ind w:firstLine="709"/>
      </w:pPr>
      <w:bookmarkStart w:id="18" w:name="_Toc239063809"/>
      <w:r>
        <w:t>2. Dasar Hukum Luka Berat dalam KUHP dan UU LLAJ</w:t>
      </w:r>
      <w:bookmarkEnd w:id="18"/>
    </w:p>
    <w:p w14:paraId="10587F42" w14:textId="77777777" w:rsidR="00521237" w:rsidRDefault="00E208D8">
      <w:pPr>
        <w:spacing w:line="480" w:lineRule="auto"/>
        <w:ind w:firstLine="709"/>
        <w:jc w:val="both"/>
      </w:pPr>
      <w:r>
        <w:t xml:space="preserve">Dasar hukum mengenai luka berat dapat ditemukan dalam Kitab </w:t>
      </w:r>
      <w:proofErr w:type="spellStart"/>
      <w:r>
        <w:t>Undang-Undang</w:t>
      </w:r>
      <w:proofErr w:type="spellEnd"/>
      <w:r>
        <w:t xml:space="preserve"> Hukum Pidana, khususnya Pasal 90 KUHP. Pasal tersebut memberikan batasan mengenai keadaan-keadaan yang dapat dikategorikan sebagai luka berat, seperti jatuh sakit atau mendapat luka yang tidak memberi harapan akan sembuh sama sekali, menimbulkan bahaya maut, tidak mampu menjalankan pekerjaan, kehilangan salah satu pancaindra, cacat berat, lumpuh, terganggunya daya pikir dalam waktu tertentu, gugurnya kandungan, atau matinya kandungan seorang perempuan.</w:t>
      </w:r>
      <w:r>
        <w:rPr>
          <w:rStyle w:val="FootnoteReference"/>
        </w:rPr>
        <w:footnoteReference w:id="53"/>
      </w:r>
    </w:p>
    <w:p w14:paraId="2E16C120" w14:textId="77777777" w:rsidR="00521237" w:rsidRDefault="00E208D8">
      <w:pPr>
        <w:spacing w:line="480" w:lineRule="auto"/>
        <w:ind w:firstLine="709"/>
        <w:jc w:val="both"/>
      </w:pPr>
      <w:r>
        <w:t xml:space="preserve">Dalam konteks kecelakaan lalu lintas, dasar hukum yang lebih khusus terdapat dalam </w:t>
      </w:r>
      <w:proofErr w:type="spellStart"/>
      <w:r>
        <w:t>Undang-Undang</w:t>
      </w:r>
      <w:proofErr w:type="spellEnd"/>
      <w:r>
        <w:t xml:space="preserve"> Nomor 22 Tahun 2009 tentang Lalu Lintas dan Angkutan Jalan. Undang-undang ini mengatur bahwa pengemudi kendaraan bermotor yang karena kelalaiannya mengakibatkan kecelakaan lalu lintas dengan korban luka berat dapat dikenakan pidana sebagaimana Pasal 310 ayat (3). Ketentuan ini menjadi dasar utama dalam perkara kecelakaan lalu lintas yang mengakibatkan luka berat.</w:t>
      </w:r>
      <w:r>
        <w:rPr>
          <w:rStyle w:val="FootnoteReference"/>
        </w:rPr>
        <w:footnoteReference w:id="54"/>
      </w:r>
    </w:p>
    <w:p w14:paraId="39FBB14E" w14:textId="77777777" w:rsidR="00521237" w:rsidRDefault="00E208D8">
      <w:pPr>
        <w:spacing w:line="480" w:lineRule="auto"/>
        <w:ind w:firstLine="709"/>
        <w:jc w:val="both"/>
      </w:pPr>
      <w:r>
        <w:t xml:space="preserve">Hubungan antara KUHP dan </w:t>
      </w:r>
      <w:proofErr w:type="spellStart"/>
      <w:r>
        <w:t>Undang-Undang</w:t>
      </w:r>
      <w:proofErr w:type="spellEnd"/>
      <w:r>
        <w:t xml:space="preserve"> Lalu Lintas dan Angkutan Jalan dapat dilihat dari fungsi masing-masing aturan. KUHP memberikan pengertian umum mengenai luka berat, sedangkan </w:t>
      </w:r>
      <w:proofErr w:type="spellStart"/>
      <w:r>
        <w:t>Undang-Undang</w:t>
      </w:r>
      <w:proofErr w:type="spellEnd"/>
      <w:r>
        <w:t xml:space="preserve"> Nomor 22 Tahun 2009 memberikan pengaturan khusus mengenai akibat luka berat dalam </w:t>
      </w:r>
      <w:r>
        <w:lastRenderedPageBreak/>
        <w:t>kecelakaan lalu lintas. Oleh karena itu, keduanya dapat digunakan secara bersama untuk memahami makna luka berat dan akibat hukumnya.</w:t>
      </w:r>
      <w:r>
        <w:rPr>
          <w:rStyle w:val="FootnoteReference"/>
        </w:rPr>
        <w:footnoteReference w:id="55"/>
      </w:r>
    </w:p>
    <w:p w14:paraId="07CDDE86" w14:textId="77777777" w:rsidR="00521237" w:rsidRDefault="00E208D8">
      <w:pPr>
        <w:spacing w:line="480" w:lineRule="auto"/>
        <w:ind w:firstLine="709"/>
        <w:jc w:val="both"/>
      </w:pPr>
      <w:r>
        <w:t xml:space="preserve">Pasal 310 ayat (3) </w:t>
      </w:r>
      <w:proofErr w:type="spellStart"/>
      <w:r>
        <w:t>Undang-Undang</w:t>
      </w:r>
      <w:proofErr w:type="spellEnd"/>
      <w:r>
        <w:t xml:space="preserve"> Nomor 22 Tahun 2009 menunjukkan bahwa luka berat merupakan akibat yang memperberat tanggung jawab pidana pengemudi. Dalam pasal tersebut, unsur kelalaian, kecelakaan lalu lintas, dan luka berat harus dibuktikan secara kumulatif. Jika salah satu unsur tidak terbukti, maka penerapan pasal tersebut dapat dipersoalkan secara hukum.</w:t>
      </w:r>
      <w:r>
        <w:rPr>
          <w:rStyle w:val="FootnoteReference"/>
        </w:rPr>
        <w:footnoteReference w:id="56"/>
      </w:r>
    </w:p>
    <w:p w14:paraId="7FDE5E58" w14:textId="77777777" w:rsidR="00521237" w:rsidRDefault="00E208D8">
      <w:pPr>
        <w:spacing w:line="480" w:lineRule="auto"/>
        <w:ind w:firstLine="709"/>
        <w:jc w:val="both"/>
      </w:pPr>
      <w:r>
        <w:t xml:space="preserve">Dengan demikian, dasar hukum luka berat dalam penelitian ini tidak hanya mengacu pada KUHP, tetapi juga pada </w:t>
      </w:r>
      <w:proofErr w:type="spellStart"/>
      <w:r>
        <w:t>Undang-Undang</w:t>
      </w:r>
      <w:proofErr w:type="spellEnd"/>
      <w:r>
        <w:t xml:space="preserve"> Nomor 22 Tahun 2009 sebagai aturan khusus di bidang lalu lintas. Penggunaan kedua aturan tersebut penting agar analisis terhadap luka berat tidak hanya bersifat medis, tetapi juga sesuai dengan konstruksi hukum pidana lalu lintas.</w:t>
      </w:r>
    </w:p>
    <w:p w14:paraId="10D6417E" w14:textId="77777777" w:rsidR="00521237" w:rsidRDefault="00E208D8">
      <w:pPr>
        <w:pStyle w:val="Heading3"/>
        <w:ind w:firstLine="709"/>
      </w:pPr>
      <w:bookmarkStart w:id="19" w:name="_Toc239063810"/>
      <w:r>
        <w:t>3. Kriteria Luka Berat menurut Hukum dan Medis</w:t>
      </w:r>
      <w:bookmarkEnd w:id="19"/>
    </w:p>
    <w:p w14:paraId="069B4B6E" w14:textId="77777777" w:rsidR="00521237" w:rsidRDefault="00E208D8">
      <w:pPr>
        <w:spacing w:line="480" w:lineRule="auto"/>
        <w:ind w:firstLine="709"/>
        <w:jc w:val="both"/>
      </w:pPr>
      <w:r>
        <w:t>Kriteria luka berat menurut hukum dapat dilihat dari akibat yang ditimbulkan terhadap tubuh atau kesehatan korban. Pasal 90 KUHP memberikan ukuran hukum mengenai keadaan yang dapat disebut luka berat, seperti penyakit yang tidak memberi harapan sembuh, bahaya maut, tidak mampu menjalankan pekerjaan, kehilangan pancaindra, cacat berat, lumpuh, atau terganggunya daya pikir. Kriteria tersebut menjadi pedoman dalam menilai derajat luka korban.</w:t>
      </w:r>
      <w:r>
        <w:rPr>
          <w:rStyle w:val="FootnoteReference"/>
        </w:rPr>
        <w:footnoteReference w:id="57"/>
      </w:r>
    </w:p>
    <w:p w14:paraId="0EA96779" w14:textId="77777777" w:rsidR="00521237" w:rsidRDefault="00E208D8">
      <w:pPr>
        <w:spacing w:line="480" w:lineRule="auto"/>
        <w:ind w:firstLine="709"/>
        <w:jc w:val="both"/>
      </w:pPr>
      <w:r>
        <w:t xml:space="preserve">Secara medis, luka berat biasanya dinilai berdasarkan tingkat kerusakan tubuh, kebutuhan perawatan, risiko komplikasi, dan dampak terhadap fungsi tubuh korban. Penilaian medis dilakukan oleh tenaga kesehatan yang berkompeten dan </w:t>
      </w:r>
      <w:r>
        <w:lastRenderedPageBreak/>
        <w:t xml:space="preserve">dituangkan dalam dokumen resmi, seperti visum </w:t>
      </w:r>
      <w:proofErr w:type="spellStart"/>
      <w:r>
        <w:t>et</w:t>
      </w:r>
      <w:proofErr w:type="spellEnd"/>
      <w:r>
        <w:t xml:space="preserve"> </w:t>
      </w:r>
      <w:proofErr w:type="spellStart"/>
      <w:r>
        <w:t>repertum</w:t>
      </w:r>
      <w:proofErr w:type="spellEnd"/>
      <w:r>
        <w:t xml:space="preserve"> atau rekam medis. Dokumen medis tersebut menjadi alat bantu penting bagi penyidik dalam menentukan derajat luka.</w:t>
      </w:r>
      <w:r>
        <w:rPr>
          <w:rStyle w:val="FootnoteReference"/>
        </w:rPr>
        <w:footnoteReference w:id="58"/>
      </w:r>
    </w:p>
    <w:p w14:paraId="13F33C64" w14:textId="77777777" w:rsidR="00521237" w:rsidRDefault="00E208D8">
      <w:pPr>
        <w:spacing w:line="480" w:lineRule="auto"/>
        <w:ind w:firstLine="709"/>
        <w:jc w:val="both"/>
      </w:pPr>
      <w:r>
        <w:t>Dalam hukum acara pidana, pembuktian luka berat tidak dapat hanya didasarkan pada dugaan atau penilaian subjektif. Penyidik perlu mengumpulkan alat bukti yang sah, termasuk keterangan saksi, keterangan korban, keterangan ahli, surat hasil pemeriksaan medis, dan barang bukti yang berkaitan dengan kecelakaan. Dengan demikian, penentuan luka berat harus didasarkan pada bukti yang objektif.</w:t>
      </w:r>
      <w:r>
        <w:rPr>
          <w:rStyle w:val="FootnoteReference"/>
        </w:rPr>
        <w:footnoteReference w:id="59"/>
      </w:r>
    </w:p>
    <w:p w14:paraId="75607AFA" w14:textId="77777777" w:rsidR="00521237" w:rsidRDefault="00E208D8">
      <w:pPr>
        <w:spacing w:line="480" w:lineRule="auto"/>
        <w:ind w:firstLine="709"/>
        <w:jc w:val="both"/>
      </w:pPr>
      <w:r>
        <w:t>Kriteria hukum dan medis harus dipadukan agar penerapan Pasal 310 ayat (3) tidak keliru. Secara hukum, suatu luka harus masuk dalam kategori luka berat sebagaimana ditentukan oleh aturan pidana. Secara medis, keadaan korban harus dapat dijelaskan melalui pemeriksaan dokter. Apabila keduanya saling mendukung, maka unsur luka berat lebih kuat untuk dibuktikan.</w:t>
      </w:r>
      <w:r>
        <w:rPr>
          <w:rStyle w:val="FootnoteReference"/>
        </w:rPr>
        <w:footnoteReference w:id="60"/>
      </w:r>
    </w:p>
    <w:p w14:paraId="115AC0EF" w14:textId="77777777" w:rsidR="00521237" w:rsidRDefault="00E208D8">
      <w:pPr>
        <w:spacing w:line="480" w:lineRule="auto"/>
        <w:ind w:firstLine="709"/>
        <w:jc w:val="both"/>
      </w:pPr>
      <w:r>
        <w:t>Dalam perkara kecelakaan lalu lintas, kriteria luka berat menjadi titik penting dalam menentukan apakah pengemudi dapat dimintai pertanggungjawaban berdasarkan Pasal 310 ayat (3). Oleh karena itu, penelitian ini menempatkan luka berat sebagai unsur akibat yang harus diuji berdasarkan ketentuan hukum, hasil pemeriksaan medis, dan fakta penyidikan dalam berkas perkara Polres Tebing Tinggi.</w:t>
      </w:r>
      <w:r>
        <w:rPr>
          <w:rStyle w:val="FootnoteReference"/>
        </w:rPr>
        <w:footnoteReference w:id="61"/>
      </w:r>
    </w:p>
    <w:p w14:paraId="61A84AE4" w14:textId="77777777" w:rsidR="00521237" w:rsidRDefault="00521237">
      <w:pPr>
        <w:spacing w:line="480" w:lineRule="auto"/>
        <w:jc w:val="both"/>
      </w:pPr>
    </w:p>
    <w:sectPr w:rsidR="00521237">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C8A67" w14:textId="77777777" w:rsidR="00170621" w:rsidRDefault="00170621">
      <w:r>
        <w:separator/>
      </w:r>
    </w:p>
  </w:endnote>
  <w:endnote w:type="continuationSeparator" w:id="0">
    <w:p w14:paraId="276A08A4" w14:textId="77777777" w:rsidR="00170621" w:rsidRDefault="0017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5798B" w14:textId="77777777" w:rsidR="00170621" w:rsidRDefault="00170621">
      <w:r>
        <w:separator/>
      </w:r>
    </w:p>
  </w:footnote>
  <w:footnote w:type="continuationSeparator" w:id="0">
    <w:p w14:paraId="0DD7CBBB" w14:textId="77777777" w:rsidR="00170621" w:rsidRDefault="00170621">
      <w:r>
        <w:continuationSeparator/>
      </w:r>
    </w:p>
  </w:footnote>
  <w:footnote w:id="1">
    <w:p w14:paraId="0AB397E6"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59.</w:t>
      </w:r>
    </w:p>
  </w:footnote>
  <w:footnote w:id="2">
    <w:p w14:paraId="26D71B89" w14:textId="77777777" w:rsidR="00521237" w:rsidRDefault="00E208D8">
      <w:pPr>
        <w:pStyle w:val="FootnoteText"/>
        <w:ind w:firstLine="709"/>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2010), </w:t>
      </w:r>
      <w:proofErr w:type="spellStart"/>
      <w:r>
        <w:t>hlm</w:t>
      </w:r>
      <w:proofErr w:type="spellEnd"/>
      <w:r>
        <w:t>. 125.</w:t>
      </w:r>
    </w:p>
  </w:footnote>
  <w:footnote w:id="3">
    <w:p w14:paraId="25482D77" w14:textId="77777777" w:rsidR="00521237" w:rsidRDefault="00E208D8">
      <w:pPr>
        <w:pStyle w:val="FootnoteText"/>
        <w:ind w:firstLine="709"/>
        <w:jc w:val="both"/>
      </w:pPr>
      <w:r>
        <w:rPr>
          <w:rStyle w:val="FootnoteCharacters"/>
        </w:rPr>
        <w:footnoteRef/>
      </w:r>
      <w:r>
        <w:rPr>
          <w:lang w:val="id-ID"/>
        </w:rPr>
        <w:t xml:space="preserve"> </w:t>
      </w:r>
      <w:proofErr w:type="spellStart"/>
      <w:r>
        <w:t>Chairul</w:t>
      </w:r>
      <w:proofErr w:type="spellEnd"/>
      <w:r>
        <w:t xml:space="preserve"> Huda,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xml:space="preserve">, 2011), </w:t>
      </w:r>
      <w:proofErr w:type="spellStart"/>
      <w:r>
        <w:t>hlm</w:t>
      </w:r>
      <w:proofErr w:type="spellEnd"/>
      <w:r>
        <w:t>. 64.</w:t>
      </w:r>
    </w:p>
  </w:footnote>
  <w:footnote w:id="4">
    <w:p w14:paraId="5D04E7C6" w14:textId="77777777" w:rsidR="00521237" w:rsidRDefault="00E208D8">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RajaGrafindo</w:t>
      </w:r>
      <w:proofErr w:type="spellEnd"/>
      <w:r>
        <w:t xml:space="preserve"> </w:t>
      </w:r>
      <w:proofErr w:type="spellStart"/>
      <w:r>
        <w:t>Persada</w:t>
      </w:r>
      <w:proofErr w:type="spellEnd"/>
      <w:r>
        <w:t xml:space="preserve">, 2016), </w:t>
      </w:r>
      <w:proofErr w:type="spellStart"/>
      <w:r>
        <w:t>hlm</w:t>
      </w:r>
      <w:proofErr w:type="spellEnd"/>
      <w:r>
        <w:t>. 107.</w:t>
      </w:r>
    </w:p>
  </w:footnote>
  <w:footnote w:id="5">
    <w:p w14:paraId="203C83F4" w14:textId="77777777" w:rsidR="00521237" w:rsidRDefault="00E208D8">
      <w:pPr>
        <w:pStyle w:val="FootnoteText"/>
        <w:ind w:firstLine="709"/>
        <w:jc w:val="both"/>
      </w:pPr>
      <w:r>
        <w:rPr>
          <w:rStyle w:val="FootnoteCharacters"/>
        </w:rPr>
        <w:footnoteRef/>
      </w:r>
      <w:r>
        <w:t xml:space="preserve"> Barda Nawawi Arief, </w:t>
      </w:r>
      <w:proofErr w:type="spellStart"/>
      <w:r>
        <w:rPr>
          <w:rStyle w:val="Emphasis"/>
        </w:rPr>
        <w:t>Masalah</w:t>
      </w:r>
      <w:proofErr w:type="spellEnd"/>
      <w:r>
        <w:rPr>
          <w:rStyle w:val="Emphasis"/>
        </w:rPr>
        <w:t xml:space="preserve"> </w:t>
      </w:r>
      <w:proofErr w:type="spellStart"/>
      <w:r>
        <w:rPr>
          <w:rStyle w:val="Emphasis"/>
        </w:rPr>
        <w:t>Penegakan</w:t>
      </w:r>
      <w:proofErr w:type="spellEnd"/>
      <w:r>
        <w:rPr>
          <w:rStyle w:val="Emphasis"/>
        </w:rPr>
        <w:t xml:space="preserve"> Hukum dan </w:t>
      </w:r>
      <w:proofErr w:type="spellStart"/>
      <w:r>
        <w:rPr>
          <w:rStyle w:val="Emphasis"/>
        </w:rPr>
        <w:t>Kebijakan</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Penanggulangan</w:t>
      </w:r>
      <w:proofErr w:type="spellEnd"/>
      <w:r>
        <w:rPr>
          <w:rStyle w:val="Emphasis"/>
        </w:rPr>
        <w:t xml:space="preserve"> </w:t>
      </w:r>
      <w:proofErr w:type="spellStart"/>
      <w:r>
        <w:rPr>
          <w:rStyle w:val="Emphasis"/>
        </w:rPr>
        <w:t>Kejahatan</w:t>
      </w:r>
      <w:proofErr w:type="spellEnd"/>
      <w:r>
        <w:t xml:space="preserve">, (Jakarta: </w:t>
      </w:r>
      <w:proofErr w:type="spellStart"/>
      <w:r>
        <w:t>Kencana</w:t>
      </w:r>
      <w:proofErr w:type="spellEnd"/>
      <w:r>
        <w:t xml:space="preserve">, 2010), </w:t>
      </w:r>
      <w:proofErr w:type="spellStart"/>
      <w:r>
        <w:t>hlm</w:t>
      </w:r>
      <w:proofErr w:type="spellEnd"/>
      <w:r>
        <w:t>. 45.</w:t>
      </w:r>
    </w:p>
  </w:footnote>
  <w:footnote w:id="6">
    <w:p w14:paraId="4C9EE621" w14:textId="77777777" w:rsidR="00521237" w:rsidRDefault="00E208D8">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xml:space="preserve">, (Jakarta: Aksara Baru, 1983), </w:t>
      </w:r>
      <w:proofErr w:type="spellStart"/>
      <w:r>
        <w:t>hlm</w:t>
      </w:r>
      <w:proofErr w:type="spellEnd"/>
      <w:r>
        <w:t>. 75.</w:t>
      </w:r>
    </w:p>
  </w:footnote>
  <w:footnote w:id="7">
    <w:p w14:paraId="06EF6C90"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8">
    <w:p w14:paraId="2A248B5C" w14:textId="77777777" w:rsidR="00521237" w:rsidRDefault="00E208D8">
      <w:pPr>
        <w:pStyle w:val="FootnoteText"/>
        <w:ind w:firstLine="709"/>
        <w:jc w:val="both"/>
      </w:pPr>
      <w:r>
        <w:rPr>
          <w:rStyle w:val="FootnoteCharacters"/>
        </w:rPr>
        <w:footnoteRef/>
      </w:r>
      <w:r>
        <w:t xml:space="preserve"> E.Y. Kanter dan S.R. Sianturi,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Storia </w:t>
      </w:r>
      <w:proofErr w:type="spellStart"/>
      <w:r>
        <w:t>Grafika</w:t>
      </w:r>
      <w:proofErr w:type="spellEnd"/>
      <w:r>
        <w:t xml:space="preserve">, 2012), </w:t>
      </w:r>
      <w:proofErr w:type="spellStart"/>
      <w:r>
        <w:t>hlm</w:t>
      </w:r>
      <w:proofErr w:type="spellEnd"/>
      <w:r>
        <w:t>. 166.</w:t>
      </w:r>
    </w:p>
  </w:footnote>
  <w:footnote w:id="9">
    <w:p w14:paraId="570300FE" w14:textId="77777777" w:rsidR="00521237" w:rsidRDefault="00E208D8">
      <w:pPr>
        <w:pStyle w:val="FootnoteText"/>
        <w:ind w:firstLine="709"/>
      </w:pPr>
      <w:r>
        <w:rPr>
          <w:rStyle w:val="FootnoteCharacters"/>
        </w:rPr>
        <w:footnoteRef/>
      </w:r>
      <w:r>
        <w:t xml:space="preserve"> </w:t>
      </w:r>
      <w:proofErr w:type="spellStart"/>
      <w:r>
        <w:t>Sudarto</w:t>
      </w:r>
      <w:proofErr w:type="spellEnd"/>
      <w:r>
        <w:t xml:space="preserve">, </w:t>
      </w:r>
      <w:r>
        <w:rPr>
          <w:rStyle w:val="Emphasis"/>
        </w:rPr>
        <w:t>Hukum dan Hukum Pidana</w:t>
      </w:r>
      <w:r>
        <w:t xml:space="preserve">, (Bandung: Alumni, 1986), </w:t>
      </w:r>
      <w:proofErr w:type="spellStart"/>
      <w:r>
        <w:t>hlm</w:t>
      </w:r>
      <w:proofErr w:type="spellEnd"/>
      <w:r>
        <w:t>. 23.</w:t>
      </w:r>
    </w:p>
  </w:footnote>
  <w:footnote w:id="10">
    <w:p w14:paraId="2949EF6F" w14:textId="77777777" w:rsidR="00521237" w:rsidRDefault="00E208D8">
      <w:pPr>
        <w:pStyle w:val="FootnoteText"/>
        <w:ind w:firstLine="709"/>
        <w:jc w:val="both"/>
      </w:pPr>
      <w:r>
        <w:rPr>
          <w:rStyle w:val="FootnoteCharacters"/>
        </w:rPr>
        <w:footnoteRef/>
      </w:r>
      <w:r>
        <w:t xml:space="preserve"> Leden Marpaung, </w:t>
      </w:r>
      <w:r>
        <w:rPr>
          <w:rStyle w:val="Emphasis"/>
        </w:rPr>
        <w:t>Asas-Teori-</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xml:space="preserve">, 2012), </w:t>
      </w:r>
      <w:proofErr w:type="spellStart"/>
      <w:r>
        <w:t>hlm</w:t>
      </w:r>
      <w:proofErr w:type="spellEnd"/>
      <w:r>
        <w:t>. 32.</w:t>
      </w:r>
    </w:p>
  </w:footnote>
  <w:footnote w:id="11">
    <w:p w14:paraId="14734307" w14:textId="77777777" w:rsidR="00521237" w:rsidRDefault="00E208D8">
      <w:pPr>
        <w:pStyle w:val="FootnoteText"/>
        <w:ind w:firstLine="709"/>
        <w:jc w:val="both"/>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(Bandung: Citra Aditya Bakti, 2013), </w:t>
      </w:r>
      <w:proofErr w:type="spellStart"/>
      <w:r>
        <w:t>hlm</w:t>
      </w:r>
      <w:proofErr w:type="spellEnd"/>
      <w:r>
        <w:t>. 181.</w:t>
      </w:r>
    </w:p>
  </w:footnote>
  <w:footnote w:id="12">
    <w:p w14:paraId="24DF24E2" w14:textId="77777777" w:rsidR="00521237" w:rsidRDefault="00E208D8">
      <w:pPr>
        <w:pStyle w:val="FootnoteText"/>
        <w:ind w:firstLine="709"/>
      </w:pPr>
      <w:r>
        <w:rPr>
          <w:rStyle w:val="FootnoteCharacters"/>
        </w:rPr>
        <w:footnoteRef/>
      </w:r>
      <w:r>
        <w:t xml:space="preserve"> Jan Remmelink, </w:t>
      </w:r>
      <w:r>
        <w:rPr>
          <w:rStyle w:val="Emphasis"/>
        </w:rPr>
        <w:t xml:space="preserve">Hukum </w:t>
      </w:r>
      <w:proofErr w:type="spellStart"/>
      <w:r>
        <w:rPr>
          <w:rStyle w:val="Emphasis"/>
        </w:rPr>
        <w:t>Pidana</w:t>
      </w:r>
      <w:proofErr w:type="spellEnd"/>
      <w:r>
        <w:t xml:space="preserve">, (Jakarta: Gramedia Pustaka Utama, 2003), </w:t>
      </w:r>
      <w:proofErr w:type="spellStart"/>
      <w:r>
        <w:t>hlm</w:t>
      </w:r>
      <w:proofErr w:type="spellEnd"/>
      <w:r>
        <w:t>. 87.</w:t>
      </w:r>
    </w:p>
  </w:footnote>
  <w:footnote w:id="13">
    <w:p w14:paraId="1F96B491" w14:textId="77777777" w:rsidR="00521237" w:rsidRDefault="00E208D8">
      <w:pPr>
        <w:pStyle w:val="FootnoteText"/>
        <w:ind w:firstLine="709"/>
        <w:jc w:val="both"/>
      </w:pPr>
      <w:r>
        <w:rPr>
          <w:rStyle w:val="FootnoteCharacters"/>
        </w:rPr>
        <w:footnoteRef/>
      </w:r>
      <w:r>
        <w:t xml:space="preserve"> Bambang Poernomo, </w:t>
      </w:r>
      <w:r>
        <w:rPr>
          <w:rStyle w:val="Emphasis"/>
        </w:rPr>
        <w:t xml:space="preserve">Asas-Asas Hukum </w:t>
      </w:r>
      <w:proofErr w:type="spellStart"/>
      <w:r>
        <w:rPr>
          <w:rStyle w:val="Emphasis"/>
        </w:rPr>
        <w:t>Pidana</w:t>
      </w:r>
      <w:proofErr w:type="spellEnd"/>
      <w:r>
        <w:t xml:space="preserve">, (Jakarta: Ghalia Indonesia, 1992), </w:t>
      </w:r>
      <w:proofErr w:type="spellStart"/>
      <w:r>
        <w:t>hlm</w:t>
      </w:r>
      <w:proofErr w:type="spellEnd"/>
      <w:r>
        <w:t>. 130.</w:t>
      </w:r>
    </w:p>
  </w:footnote>
  <w:footnote w:id="14">
    <w:p w14:paraId="7399D692" w14:textId="77777777" w:rsidR="00521237" w:rsidRDefault="00E208D8">
      <w:pPr>
        <w:pStyle w:val="FootnoteText"/>
        <w:ind w:firstLine="709"/>
      </w:pPr>
      <w:r>
        <w:rPr>
          <w:rStyle w:val="FootnoteCharacters"/>
        </w:rPr>
        <w:footnoteRef/>
      </w:r>
      <w:r>
        <w:t xml:space="preserve"> Utrecht, </w:t>
      </w:r>
      <w:r>
        <w:rPr>
          <w:rStyle w:val="Emphasis"/>
        </w:rPr>
        <w:t xml:space="preserve">Hukum </w:t>
      </w:r>
      <w:proofErr w:type="spellStart"/>
      <w:r>
        <w:rPr>
          <w:rStyle w:val="Emphasis"/>
        </w:rPr>
        <w:t>Pidana</w:t>
      </w:r>
      <w:proofErr w:type="spellEnd"/>
      <w:r>
        <w:rPr>
          <w:rStyle w:val="Emphasis"/>
        </w:rPr>
        <w:t xml:space="preserve"> I</w:t>
      </w:r>
      <w:r>
        <w:t xml:space="preserve">, (Surabaya: Pustaka Tinta Mas, 1986), </w:t>
      </w:r>
      <w:proofErr w:type="spellStart"/>
      <w:r>
        <w:t>hlm</w:t>
      </w:r>
      <w:proofErr w:type="spellEnd"/>
      <w:r>
        <w:t>. 251.</w:t>
      </w:r>
    </w:p>
  </w:footnote>
  <w:footnote w:id="15">
    <w:p w14:paraId="6FC98C35"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2012), </w:t>
      </w:r>
      <w:proofErr w:type="spellStart"/>
      <w:r>
        <w:t>hlm</w:t>
      </w:r>
      <w:proofErr w:type="spellEnd"/>
      <w:r>
        <w:t>. 134.</w:t>
      </w:r>
    </w:p>
  </w:footnote>
  <w:footnote w:id="16">
    <w:p w14:paraId="2214C01F" w14:textId="77777777" w:rsidR="00521237" w:rsidRDefault="00E208D8">
      <w:pPr>
        <w:pStyle w:val="FootnoteText"/>
        <w:ind w:firstLine="709"/>
        <w:jc w:val="both"/>
      </w:pPr>
      <w:r>
        <w:rPr>
          <w:rStyle w:val="FootnoteCharacters"/>
        </w:rPr>
        <w:footnoteRef/>
      </w:r>
      <w:r>
        <w:t xml:space="preserve"> Pasal 1 </w:t>
      </w:r>
      <w:proofErr w:type="spellStart"/>
      <w:r>
        <w:t>angka</w:t>
      </w:r>
      <w:proofErr w:type="spellEnd"/>
      <w:r>
        <w:t xml:space="preserve"> 24,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17">
    <w:p w14:paraId="111B2A46" w14:textId="77777777" w:rsidR="00521237" w:rsidRDefault="00E208D8">
      <w:pPr>
        <w:pStyle w:val="FootnoteText"/>
        <w:ind w:firstLine="709"/>
      </w:pPr>
      <w:r>
        <w:rPr>
          <w:rStyle w:val="FootnoteCharacters"/>
        </w:rPr>
        <w:footnoteRef/>
      </w:r>
      <w:r>
        <w:t xml:space="preserve"> </w:t>
      </w:r>
      <w:proofErr w:type="spellStart"/>
      <w:r>
        <w:t>Soerjono</w:t>
      </w:r>
      <w:proofErr w:type="spellEnd"/>
      <w:r>
        <w:t xml:space="preserve"> Soekanto, </w:t>
      </w:r>
      <w:r>
        <w:rPr>
          <w:rStyle w:val="Emphasis"/>
        </w:rPr>
        <w:t>Polisi dan Lalu Lintas</w:t>
      </w:r>
      <w:r>
        <w:t xml:space="preserve">, (Bandung: Mandar Maju, 1990), </w:t>
      </w:r>
      <w:proofErr w:type="spellStart"/>
      <w:r>
        <w:t>hlm</w:t>
      </w:r>
      <w:proofErr w:type="spellEnd"/>
      <w:r>
        <w:t>. 12.</w:t>
      </w:r>
    </w:p>
  </w:footnote>
  <w:footnote w:id="18">
    <w:p w14:paraId="5A317E12"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19">
    <w:p w14:paraId="37BE4CAF" w14:textId="77777777" w:rsidR="00521237" w:rsidRDefault="00E208D8">
      <w:pPr>
        <w:pStyle w:val="FootnoteText"/>
        <w:ind w:firstLine="709"/>
        <w:jc w:val="both"/>
      </w:pPr>
      <w:r>
        <w:rPr>
          <w:rStyle w:val="FootnoteCharacters"/>
        </w:rPr>
        <w:footnoteRef/>
      </w:r>
      <w:r>
        <w:t xml:space="preserve"> C.S.T. </w:t>
      </w:r>
      <w:proofErr w:type="spellStart"/>
      <w:r>
        <w:t>Kansil</w:t>
      </w:r>
      <w:proofErr w:type="spellEnd"/>
      <w:r>
        <w:t xml:space="preserve"> dan Christine S.T. Kansil, </w:t>
      </w:r>
      <w:proofErr w:type="spellStart"/>
      <w:r>
        <w:rPr>
          <w:rStyle w:val="Emphasis"/>
        </w:rPr>
        <w:t>Disiplin</w:t>
      </w:r>
      <w:proofErr w:type="spellEnd"/>
      <w:r>
        <w:rPr>
          <w:rStyle w:val="Emphasis"/>
        </w:rPr>
        <w:t xml:space="preserve"> </w:t>
      </w:r>
      <w:proofErr w:type="spellStart"/>
      <w:r>
        <w:rPr>
          <w:rStyle w:val="Emphasis"/>
        </w:rPr>
        <w:t>Berlalu</w:t>
      </w:r>
      <w:proofErr w:type="spellEnd"/>
      <w:r>
        <w:rPr>
          <w:rStyle w:val="Emphasis"/>
        </w:rPr>
        <w:t xml:space="preserve"> Lintas di Jalan Raya</w:t>
      </w:r>
      <w:r>
        <w:t xml:space="preserve">, (Jakarta: </w:t>
      </w:r>
      <w:proofErr w:type="spellStart"/>
      <w:r>
        <w:t>Rineka</w:t>
      </w:r>
      <w:proofErr w:type="spellEnd"/>
      <w:r>
        <w:t xml:space="preserve"> Cipta, 1995), </w:t>
      </w:r>
      <w:proofErr w:type="spellStart"/>
      <w:r>
        <w:t>hlm</w:t>
      </w:r>
      <w:proofErr w:type="spellEnd"/>
      <w:r>
        <w:t>. 27.</w:t>
      </w:r>
    </w:p>
  </w:footnote>
  <w:footnote w:id="20">
    <w:p w14:paraId="1A90AEBE" w14:textId="77777777" w:rsidR="00521237" w:rsidRDefault="00E208D8">
      <w:pPr>
        <w:pStyle w:val="FootnoteText"/>
        <w:ind w:firstLine="709"/>
        <w:jc w:val="both"/>
      </w:pPr>
      <w:r>
        <w:rPr>
          <w:rStyle w:val="FootnoteCharacters"/>
        </w:rPr>
        <w:footnoteRef/>
      </w:r>
      <w:r>
        <w:t xml:space="preserve"> </w:t>
      </w:r>
      <w:proofErr w:type="spellStart"/>
      <w:r>
        <w:t>Warpani</w:t>
      </w:r>
      <w:proofErr w:type="spellEnd"/>
      <w:r>
        <w:t xml:space="preserve">, </w:t>
      </w:r>
      <w:proofErr w:type="spellStart"/>
      <w:r>
        <w:rPr>
          <w:rStyle w:val="Emphasis"/>
        </w:rPr>
        <w:t>Pengelolaan</w:t>
      </w:r>
      <w:proofErr w:type="spellEnd"/>
      <w:r>
        <w:rPr>
          <w:rStyle w:val="Emphasis"/>
        </w:rPr>
        <w:t xml:space="preserve"> Lalu Lintas dan </w:t>
      </w:r>
      <w:proofErr w:type="spellStart"/>
      <w:r>
        <w:rPr>
          <w:rStyle w:val="Emphasis"/>
        </w:rPr>
        <w:t>Angkutan</w:t>
      </w:r>
      <w:proofErr w:type="spellEnd"/>
      <w:r>
        <w:rPr>
          <w:rStyle w:val="Emphasis"/>
        </w:rPr>
        <w:t xml:space="preserve"> Jalan</w:t>
      </w:r>
      <w:r>
        <w:t xml:space="preserve">, (Bandung: ITB, 2002), </w:t>
      </w:r>
      <w:proofErr w:type="spellStart"/>
      <w:r>
        <w:t>hlm</w:t>
      </w:r>
      <w:proofErr w:type="spellEnd"/>
      <w:r>
        <w:t>. 108.</w:t>
      </w:r>
    </w:p>
  </w:footnote>
  <w:footnote w:id="21">
    <w:p w14:paraId="3B8C6858" w14:textId="77777777" w:rsidR="00521237" w:rsidRDefault="00E208D8">
      <w:pPr>
        <w:pStyle w:val="FootnoteText"/>
        <w:ind w:firstLine="709"/>
        <w:jc w:val="both"/>
      </w:pPr>
      <w:r>
        <w:rPr>
          <w:rStyle w:val="FootnoteCharacters"/>
        </w:rPr>
        <w:footnoteRef/>
      </w:r>
      <w:r>
        <w:t xml:space="preserve"> Pasal 48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22">
    <w:p w14:paraId="148BD016" w14:textId="77777777" w:rsidR="00521237" w:rsidRDefault="00E208D8">
      <w:pPr>
        <w:pStyle w:val="FootnoteText"/>
        <w:ind w:firstLine="709"/>
        <w:jc w:val="both"/>
      </w:pPr>
      <w:r>
        <w:rPr>
          <w:rStyle w:val="FootnoteCharacters"/>
        </w:rPr>
        <w:footnoteRef/>
      </w:r>
      <w:r>
        <w:t xml:space="preserve"> Hobbs, </w:t>
      </w:r>
      <w:proofErr w:type="spellStart"/>
      <w:r>
        <w:rPr>
          <w:rStyle w:val="Emphasis"/>
        </w:rPr>
        <w:t>Perencanaan</w:t>
      </w:r>
      <w:proofErr w:type="spellEnd"/>
      <w:r>
        <w:rPr>
          <w:rStyle w:val="Emphasis"/>
        </w:rPr>
        <w:t xml:space="preserve"> dan Teknik Lalu Lintas</w:t>
      </w:r>
      <w:r>
        <w:t xml:space="preserve">, (Yogyakarta: Gadjah Mada University Press, 1995), </w:t>
      </w:r>
      <w:proofErr w:type="spellStart"/>
      <w:r>
        <w:t>hlm</w:t>
      </w:r>
      <w:proofErr w:type="spellEnd"/>
      <w:r>
        <w:t>. 423.</w:t>
      </w:r>
    </w:p>
  </w:footnote>
  <w:footnote w:id="23">
    <w:p w14:paraId="52BAA6D8" w14:textId="77777777" w:rsidR="00521237" w:rsidRDefault="00E208D8">
      <w:pPr>
        <w:pStyle w:val="FootnoteText"/>
        <w:ind w:firstLine="709"/>
        <w:jc w:val="both"/>
      </w:pPr>
      <w:r>
        <w:rPr>
          <w:rStyle w:val="FootnoteCharacters"/>
        </w:rPr>
        <w:footnoteRef/>
      </w:r>
      <w:r>
        <w:t xml:space="preserve"> </w:t>
      </w:r>
      <w:proofErr w:type="spellStart"/>
      <w:r>
        <w:t>Ofyar</w:t>
      </w:r>
      <w:proofErr w:type="spellEnd"/>
      <w:r>
        <w:t xml:space="preserve"> Z. Tamin, </w:t>
      </w:r>
      <w:proofErr w:type="spellStart"/>
      <w:r>
        <w:rPr>
          <w:rStyle w:val="Emphasis"/>
        </w:rPr>
        <w:t>Perencanaan</w:t>
      </w:r>
      <w:proofErr w:type="spellEnd"/>
      <w:r>
        <w:rPr>
          <w:rStyle w:val="Emphasis"/>
        </w:rPr>
        <w:t xml:space="preserve"> dan </w:t>
      </w:r>
      <w:proofErr w:type="spellStart"/>
      <w:r>
        <w:rPr>
          <w:rStyle w:val="Emphasis"/>
        </w:rPr>
        <w:t>Pemodelan</w:t>
      </w:r>
      <w:proofErr w:type="spellEnd"/>
      <w:r>
        <w:rPr>
          <w:rStyle w:val="Emphasis"/>
        </w:rPr>
        <w:t xml:space="preserve"> Transportasi</w:t>
      </w:r>
      <w:r>
        <w:t xml:space="preserve">, (Bandung: ITB, 2000), </w:t>
      </w:r>
      <w:proofErr w:type="spellStart"/>
      <w:r>
        <w:t>hlm</w:t>
      </w:r>
      <w:proofErr w:type="spellEnd"/>
      <w:r>
        <w:t>. 38.</w:t>
      </w:r>
    </w:p>
  </w:footnote>
  <w:footnote w:id="24">
    <w:p w14:paraId="5D9F97EA" w14:textId="77777777" w:rsidR="00521237" w:rsidRDefault="00E208D8">
      <w:pPr>
        <w:pStyle w:val="FootnoteText"/>
        <w:ind w:firstLine="709"/>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2010), </w:t>
      </w:r>
      <w:proofErr w:type="spellStart"/>
      <w:r>
        <w:t>hlm</w:t>
      </w:r>
      <w:proofErr w:type="spellEnd"/>
      <w:r>
        <w:t>. 125.</w:t>
      </w:r>
    </w:p>
  </w:footnote>
  <w:footnote w:id="25">
    <w:p w14:paraId="4E93D7FB" w14:textId="77777777" w:rsidR="00521237" w:rsidRDefault="00E208D8">
      <w:pPr>
        <w:pStyle w:val="FootnoteText"/>
        <w:ind w:firstLine="709"/>
        <w:jc w:val="both"/>
      </w:pPr>
      <w:r>
        <w:rPr>
          <w:rStyle w:val="FootnoteCharacters"/>
        </w:rPr>
        <w:footnoteRef/>
      </w:r>
      <w:r>
        <w:t xml:space="preserve"> Pasal 229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26">
    <w:p w14:paraId="18D18836" w14:textId="77777777" w:rsidR="00521237" w:rsidRDefault="00E208D8">
      <w:pPr>
        <w:pStyle w:val="FootnoteText"/>
        <w:ind w:firstLine="709"/>
        <w:jc w:val="both"/>
      </w:pPr>
      <w:r>
        <w:rPr>
          <w:rStyle w:val="FootnoteCharacters"/>
        </w:rPr>
        <w:footnoteRef/>
      </w:r>
      <w:r>
        <w:t xml:space="preserve"> Pasal 229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27">
    <w:p w14:paraId="396332CB" w14:textId="77777777" w:rsidR="00521237" w:rsidRDefault="00E208D8">
      <w:pPr>
        <w:pStyle w:val="FootnoteText"/>
        <w:ind w:firstLine="709"/>
        <w:jc w:val="both"/>
      </w:pPr>
      <w:r>
        <w:rPr>
          <w:rStyle w:val="FootnoteCharacters"/>
        </w:rPr>
        <w:footnoteRef/>
      </w:r>
      <w:r>
        <w:t xml:space="preserve"> Pasal 229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28">
    <w:p w14:paraId="2DA071E9" w14:textId="77777777" w:rsidR="00521237" w:rsidRDefault="00E208D8">
      <w:pPr>
        <w:pStyle w:val="FootnoteText"/>
        <w:ind w:firstLine="709"/>
        <w:jc w:val="both"/>
      </w:pPr>
      <w:r>
        <w:rPr>
          <w:rStyle w:val="FootnoteCharacters"/>
        </w:rPr>
        <w:footnoteRef/>
      </w:r>
      <w:r>
        <w:t xml:space="preserve"> Fidel Miro, </w:t>
      </w:r>
      <w:proofErr w:type="spellStart"/>
      <w:r>
        <w:rPr>
          <w:rStyle w:val="Emphasis"/>
        </w:rPr>
        <w:t>Perencanaan</w:t>
      </w:r>
      <w:proofErr w:type="spellEnd"/>
      <w:r>
        <w:rPr>
          <w:rStyle w:val="Emphasis"/>
        </w:rPr>
        <w:t xml:space="preserve"> </w:t>
      </w:r>
      <w:proofErr w:type="spellStart"/>
      <w:r>
        <w:rPr>
          <w:rStyle w:val="Emphasis"/>
        </w:rPr>
        <w:t>Transportasi</w:t>
      </w:r>
      <w:proofErr w:type="spellEnd"/>
      <w:r>
        <w:rPr>
          <w:rStyle w:val="Emphasis"/>
        </w:rPr>
        <w:t xml:space="preserve"> </w:t>
      </w:r>
      <w:proofErr w:type="spellStart"/>
      <w:r>
        <w:rPr>
          <w:rStyle w:val="Emphasis"/>
        </w:rPr>
        <w:t>untuk</w:t>
      </w:r>
      <w:proofErr w:type="spellEnd"/>
      <w:r>
        <w:rPr>
          <w:rStyle w:val="Emphasis"/>
        </w:rPr>
        <w:t xml:space="preserve"> </w:t>
      </w:r>
      <w:proofErr w:type="spellStart"/>
      <w:r>
        <w:rPr>
          <w:rStyle w:val="Emphasis"/>
        </w:rPr>
        <w:t>Mahasiswa</w:t>
      </w:r>
      <w:proofErr w:type="spellEnd"/>
      <w:r>
        <w:rPr>
          <w:rStyle w:val="Emphasis"/>
        </w:rPr>
        <w:t xml:space="preserve">, </w:t>
      </w:r>
      <w:proofErr w:type="spellStart"/>
      <w:r>
        <w:rPr>
          <w:rStyle w:val="Emphasis"/>
        </w:rPr>
        <w:t>Perencana</w:t>
      </w:r>
      <w:proofErr w:type="spellEnd"/>
      <w:r>
        <w:rPr>
          <w:rStyle w:val="Emphasis"/>
        </w:rPr>
        <w:t xml:space="preserve">, dan </w:t>
      </w:r>
      <w:proofErr w:type="spellStart"/>
      <w:r>
        <w:rPr>
          <w:rStyle w:val="Emphasis"/>
        </w:rPr>
        <w:t>Praktisi</w:t>
      </w:r>
      <w:proofErr w:type="spellEnd"/>
      <w:r>
        <w:t xml:space="preserve">, (Jakarta: </w:t>
      </w:r>
      <w:proofErr w:type="spellStart"/>
      <w:r>
        <w:t>Erlangga</w:t>
      </w:r>
      <w:proofErr w:type="spellEnd"/>
      <w:r>
        <w:t xml:space="preserve">, 2005), </w:t>
      </w:r>
      <w:proofErr w:type="spellStart"/>
      <w:r>
        <w:t>hlm</w:t>
      </w:r>
      <w:proofErr w:type="spellEnd"/>
      <w:r>
        <w:t>. 19.</w:t>
      </w:r>
    </w:p>
  </w:footnote>
  <w:footnote w:id="29">
    <w:p w14:paraId="7F3EBB27" w14:textId="77777777" w:rsidR="00521237" w:rsidRDefault="00E208D8">
      <w:pPr>
        <w:pStyle w:val="FootnoteText"/>
        <w:ind w:firstLine="709"/>
        <w:jc w:val="both"/>
      </w:pPr>
      <w:r>
        <w:rPr>
          <w:rStyle w:val="FootnoteCharacters"/>
        </w:rPr>
        <w:footnoteRef/>
      </w:r>
      <w:r>
        <w:t xml:space="preserve"> Pasal 1 </w:t>
      </w:r>
      <w:proofErr w:type="spellStart"/>
      <w:r>
        <w:t>angka</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0">
    <w:p w14:paraId="249EBA43" w14:textId="77777777" w:rsidR="00521237" w:rsidRDefault="00E208D8">
      <w:pPr>
        <w:pStyle w:val="FootnoteText"/>
        <w:ind w:firstLine="709"/>
        <w:jc w:val="both"/>
      </w:pPr>
      <w:r>
        <w:rPr>
          <w:rStyle w:val="FootnoteCharacters"/>
        </w:rPr>
        <w:footnoteRef/>
      </w:r>
      <w:r>
        <w:t xml:space="preserve"> Pasal 1 </w:t>
      </w:r>
      <w:proofErr w:type="spellStart"/>
      <w:r>
        <w:t>angka</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1">
    <w:p w14:paraId="785C4FD0" w14:textId="77777777" w:rsidR="00521237" w:rsidRDefault="00E208D8">
      <w:pPr>
        <w:pStyle w:val="FootnoteText"/>
        <w:ind w:firstLine="709"/>
        <w:jc w:val="both"/>
      </w:pPr>
      <w:r>
        <w:rPr>
          <w:rStyle w:val="FootnoteCharacters"/>
        </w:rPr>
        <w:footnoteRef/>
      </w:r>
      <w:r>
        <w:t xml:space="preserve"> C.S.T. </w:t>
      </w:r>
      <w:proofErr w:type="spellStart"/>
      <w:r>
        <w:t>Kansil</w:t>
      </w:r>
      <w:proofErr w:type="spellEnd"/>
      <w:r>
        <w:t xml:space="preserve"> dan Christine S.T. Kansil, </w:t>
      </w:r>
      <w:proofErr w:type="spellStart"/>
      <w:r>
        <w:rPr>
          <w:rStyle w:val="Emphasis"/>
        </w:rPr>
        <w:t>Disiplin</w:t>
      </w:r>
      <w:proofErr w:type="spellEnd"/>
      <w:r>
        <w:rPr>
          <w:rStyle w:val="Emphasis"/>
        </w:rPr>
        <w:t xml:space="preserve"> </w:t>
      </w:r>
      <w:proofErr w:type="spellStart"/>
      <w:r>
        <w:rPr>
          <w:rStyle w:val="Emphasis"/>
        </w:rPr>
        <w:t>Berlalu</w:t>
      </w:r>
      <w:proofErr w:type="spellEnd"/>
      <w:r>
        <w:rPr>
          <w:rStyle w:val="Emphasis"/>
        </w:rPr>
        <w:t xml:space="preserve"> Lintas di Jalan Raya</w:t>
      </w:r>
      <w:r>
        <w:t xml:space="preserve">, (Jakarta: </w:t>
      </w:r>
      <w:proofErr w:type="spellStart"/>
      <w:r>
        <w:t>Rineka</w:t>
      </w:r>
      <w:proofErr w:type="spellEnd"/>
      <w:r>
        <w:t xml:space="preserve"> Cipta, 1995), </w:t>
      </w:r>
      <w:proofErr w:type="spellStart"/>
      <w:r>
        <w:t>hlm</w:t>
      </w:r>
      <w:proofErr w:type="spellEnd"/>
      <w:r>
        <w:t>. 14.</w:t>
      </w:r>
    </w:p>
  </w:footnote>
  <w:footnote w:id="32">
    <w:p w14:paraId="086ED69A" w14:textId="77777777" w:rsidR="00521237" w:rsidRDefault="00E208D8">
      <w:pPr>
        <w:pStyle w:val="FootnoteText"/>
        <w:ind w:firstLine="709"/>
      </w:pPr>
      <w:r>
        <w:rPr>
          <w:rStyle w:val="FootnoteCharacters"/>
        </w:rPr>
        <w:footnoteRef/>
      </w:r>
      <w:r>
        <w:t xml:space="preserve"> </w:t>
      </w:r>
      <w:proofErr w:type="spellStart"/>
      <w:r>
        <w:t>Soerjono</w:t>
      </w:r>
      <w:proofErr w:type="spellEnd"/>
      <w:r>
        <w:t xml:space="preserve"> Soekanto, </w:t>
      </w:r>
      <w:r>
        <w:rPr>
          <w:rStyle w:val="Emphasis"/>
        </w:rPr>
        <w:t>Polisi dan Lalu Lintas</w:t>
      </w:r>
      <w:r>
        <w:t xml:space="preserve">, (Bandung: Mandar Maju, 1990), </w:t>
      </w:r>
      <w:proofErr w:type="spellStart"/>
      <w:r>
        <w:t>hlm</w:t>
      </w:r>
      <w:proofErr w:type="spellEnd"/>
      <w:r>
        <w:t>. 21.</w:t>
      </w:r>
    </w:p>
  </w:footnote>
  <w:footnote w:id="33">
    <w:p w14:paraId="1F2B8520" w14:textId="77777777" w:rsidR="00521237" w:rsidRDefault="00E208D8">
      <w:pPr>
        <w:pStyle w:val="FootnoteText"/>
        <w:ind w:firstLine="709"/>
        <w:jc w:val="both"/>
      </w:pPr>
      <w:r>
        <w:rPr>
          <w:rStyle w:val="FootnoteCharacters"/>
        </w:rPr>
        <w:footnoteRef/>
      </w:r>
      <w:r>
        <w:t xml:space="preserve"> </w:t>
      </w:r>
      <w:proofErr w:type="spellStart"/>
      <w:r>
        <w:t>Warpani</w:t>
      </w:r>
      <w:proofErr w:type="spellEnd"/>
      <w:r>
        <w:t xml:space="preserve">, </w:t>
      </w:r>
      <w:proofErr w:type="spellStart"/>
      <w:r>
        <w:rPr>
          <w:rStyle w:val="Emphasis"/>
        </w:rPr>
        <w:t>Pengelolaan</w:t>
      </w:r>
      <w:proofErr w:type="spellEnd"/>
      <w:r>
        <w:rPr>
          <w:rStyle w:val="Emphasis"/>
        </w:rPr>
        <w:t xml:space="preserve"> Lalu Lintas dan </w:t>
      </w:r>
      <w:proofErr w:type="spellStart"/>
      <w:r>
        <w:rPr>
          <w:rStyle w:val="Emphasis"/>
        </w:rPr>
        <w:t>Angkutan</w:t>
      </w:r>
      <w:proofErr w:type="spellEnd"/>
      <w:r>
        <w:rPr>
          <w:rStyle w:val="Emphasis"/>
        </w:rPr>
        <w:t xml:space="preserve"> Jalan</w:t>
      </w:r>
      <w:r>
        <w:t xml:space="preserve">, (Bandung: ITB, 2002), </w:t>
      </w:r>
      <w:proofErr w:type="spellStart"/>
      <w:r>
        <w:t>hlm</w:t>
      </w:r>
      <w:proofErr w:type="spellEnd"/>
      <w:r>
        <w:t>. 31.</w:t>
      </w:r>
    </w:p>
  </w:footnote>
  <w:footnote w:id="34">
    <w:p w14:paraId="639ED26C" w14:textId="77777777" w:rsidR="00521237" w:rsidRDefault="00E208D8">
      <w:pPr>
        <w:pStyle w:val="FootnoteText"/>
        <w:ind w:firstLine="709"/>
        <w:jc w:val="both"/>
      </w:pPr>
      <w:r>
        <w:rPr>
          <w:rStyle w:val="FootnoteCharacters"/>
        </w:rPr>
        <w:footnoteRef/>
      </w:r>
      <w:r>
        <w:t xml:space="preserve"> </w:t>
      </w:r>
      <w:proofErr w:type="spellStart"/>
      <w:r>
        <w:t>Konsiderans</w:t>
      </w:r>
      <w:proofErr w:type="spellEnd"/>
      <w:r>
        <w:t xml:space="preserve">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5">
    <w:p w14:paraId="5EFB631B" w14:textId="77777777" w:rsidR="00521237" w:rsidRDefault="00E208D8">
      <w:pPr>
        <w:pStyle w:val="FootnoteText"/>
        <w:ind w:firstLine="709"/>
        <w:jc w:val="both"/>
      </w:pPr>
      <w:r>
        <w:rPr>
          <w:rStyle w:val="FootnoteCharacters"/>
        </w:rPr>
        <w:footnoteRef/>
      </w:r>
      <w:r>
        <w:t xml:space="preserve"> Pasal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6">
    <w:p w14:paraId="6D15F5E5"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7">
    <w:p w14:paraId="7E875264"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8">
    <w:p w14:paraId="2870BE71"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39">
    <w:p w14:paraId="0846AF20" w14:textId="77777777" w:rsidR="00521237" w:rsidRDefault="00E208D8">
      <w:pPr>
        <w:pStyle w:val="FootnoteText"/>
        <w:ind w:firstLine="709"/>
        <w:jc w:val="both"/>
      </w:pPr>
      <w:r>
        <w:rPr>
          <w:rStyle w:val="FootnoteCharacters"/>
        </w:rPr>
        <w:footnoteRef/>
      </w:r>
      <w:r>
        <w:t xml:space="preserve"> Pasal 203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0">
    <w:p w14:paraId="1AB90956"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1">
    <w:p w14:paraId="47A7F040" w14:textId="77777777" w:rsidR="00521237" w:rsidRDefault="00E208D8">
      <w:pPr>
        <w:pStyle w:val="FootnoteText"/>
        <w:ind w:firstLine="709"/>
        <w:jc w:val="both"/>
      </w:pPr>
      <w:r>
        <w:rPr>
          <w:rStyle w:val="FootnoteCharacters"/>
        </w:rPr>
        <w:footnoteRef/>
      </w:r>
      <w:r>
        <w:t xml:space="preserve"> Pasal 131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2">
    <w:p w14:paraId="10B89015" w14:textId="77777777" w:rsidR="00521237" w:rsidRDefault="00E208D8">
      <w:pPr>
        <w:pStyle w:val="FootnoteText"/>
        <w:ind w:firstLine="709"/>
        <w:jc w:val="both"/>
      </w:pPr>
      <w:r>
        <w:rPr>
          <w:rStyle w:val="FootnoteCharacters"/>
        </w:rPr>
        <w:footnoteRef/>
      </w:r>
      <w:r>
        <w:t xml:space="preserve"> Hobbs, </w:t>
      </w:r>
      <w:proofErr w:type="spellStart"/>
      <w:r>
        <w:rPr>
          <w:rStyle w:val="Emphasis"/>
        </w:rPr>
        <w:t>Perencanaan</w:t>
      </w:r>
      <w:proofErr w:type="spellEnd"/>
      <w:r>
        <w:rPr>
          <w:rStyle w:val="Emphasis"/>
        </w:rPr>
        <w:t xml:space="preserve"> dan Teknik Lalu Lintas</w:t>
      </w:r>
      <w:r>
        <w:t xml:space="preserve">, (Yogyakarta: Gadjah Mada University Press, 1995), </w:t>
      </w:r>
      <w:proofErr w:type="spellStart"/>
      <w:r>
        <w:t>hlm</w:t>
      </w:r>
      <w:proofErr w:type="spellEnd"/>
      <w:r>
        <w:t>. 418.</w:t>
      </w:r>
    </w:p>
  </w:footnote>
  <w:footnote w:id="43">
    <w:p w14:paraId="137C3E63" w14:textId="77777777" w:rsidR="00521237" w:rsidRDefault="00E208D8">
      <w:pPr>
        <w:pStyle w:val="FootnoteText"/>
        <w:ind w:firstLine="709"/>
        <w:jc w:val="both"/>
      </w:pPr>
      <w:r>
        <w:rPr>
          <w:rStyle w:val="FootnoteCharacters"/>
        </w:rPr>
        <w:footnoteRef/>
      </w:r>
      <w:r>
        <w:t xml:space="preserve"> </w:t>
      </w:r>
      <w:proofErr w:type="spellStart"/>
      <w:r>
        <w:t>Ofyar</w:t>
      </w:r>
      <w:proofErr w:type="spellEnd"/>
      <w:r>
        <w:t xml:space="preserve"> Z. Tamin, </w:t>
      </w:r>
      <w:proofErr w:type="spellStart"/>
      <w:r>
        <w:rPr>
          <w:rStyle w:val="Emphasis"/>
        </w:rPr>
        <w:t>Perencanaan</w:t>
      </w:r>
      <w:proofErr w:type="spellEnd"/>
      <w:r>
        <w:rPr>
          <w:rStyle w:val="Emphasis"/>
        </w:rPr>
        <w:t xml:space="preserve"> dan </w:t>
      </w:r>
      <w:proofErr w:type="spellStart"/>
      <w:r>
        <w:rPr>
          <w:rStyle w:val="Emphasis"/>
        </w:rPr>
        <w:t>Pemodelan</w:t>
      </w:r>
      <w:proofErr w:type="spellEnd"/>
      <w:r>
        <w:rPr>
          <w:rStyle w:val="Emphasis"/>
        </w:rPr>
        <w:t xml:space="preserve"> Transportasi</w:t>
      </w:r>
      <w:r>
        <w:t xml:space="preserve">, (Bandung: ITB, 2000), </w:t>
      </w:r>
      <w:proofErr w:type="spellStart"/>
      <w:r>
        <w:t>hlm</w:t>
      </w:r>
      <w:proofErr w:type="spellEnd"/>
      <w:r>
        <w:t>. 41.</w:t>
      </w:r>
    </w:p>
  </w:footnote>
  <w:footnote w:id="44">
    <w:p w14:paraId="20721DC1" w14:textId="77777777" w:rsidR="00521237" w:rsidRDefault="00E208D8">
      <w:pPr>
        <w:pStyle w:val="FootnoteText"/>
        <w:ind w:firstLine="709"/>
        <w:jc w:val="both"/>
      </w:pPr>
      <w:r>
        <w:rPr>
          <w:rStyle w:val="FootnoteCharacters"/>
        </w:rPr>
        <w:footnoteRef/>
      </w:r>
      <w:r>
        <w:t xml:space="preserve"> Fidel Miro, </w:t>
      </w:r>
      <w:proofErr w:type="spellStart"/>
      <w:r>
        <w:rPr>
          <w:rStyle w:val="Emphasis"/>
        </w:rPr>
        <w:t>Perencanaan</w:t>
      </w:r>
      <w:proofErr w:type="spellEnd"/>
      <w:r>
        <w:rPr>
          <w:rStyle w:val="Emphasis"/>
        </w:rPr>
        <w:t xml:space="preserve"> </w:t>
      </w:r>
      <w:proofErr w:type="spellStart"/>
      <w:r>
        <w:rPr>
          <w:rStyle w:val="Emphasis"/>
        </w:rPr>
        <w:t>Transportasi</w:t>
      </w:r>
      <w:proofErr w:type="spellEnd"/>
      <w:r>
        <w:rPr>
          <w:rStyle w:val="Emphasis"/>
        </w:rPr>
        <w:t xml:space="preserve"> </w:t>
      </w:r>
      <w:proofErr w:type="spellStart"/>
      <w:r>
        <w:rPr>
          <w:rStyle w:val="Emphasis"/>
        </w:rPr>
        <w:t>untuk</w:t>
      </w:r>
      <w:proofErr w:type="spellEnd"/>
      <w:r>
        <w:rPr>
          <w:rStyle w:val="Emphasis"/>
        </w:rPr>
        <w:t xml:space="preserve"> </w:t>
      </w:r>
      <w:proofErr w:type="spellStart"/>
      <w:r>
        <w:rPr>
          <w:rStyle w:val="Emphasis"/>
        </w:rPr>
        <w:t>Mahasiswa</w:t>
      </w:r>
      <w:proofErr w:type="spellEnd"/>
      <w:r>
        <w:rPr>
          <w:rStyle w:val="Emphasis"/>
        </w:rPr>
        <w:t xml:space="preserve">, </w:t>
      </w:r>
      <w:proofErr w:type="spellStart"/>
      <w:r>
        <w:rPr>
          <w:rStyle w:val="Emphasis"/>
        </w:rPr>
        <w:t>Perencana</w:t>
      </w:r>
      <w:proofErr w:type="spellEnd"/>
      <w:r>
        <w:rPr>
          <w:rStyle w:val="Emphasis"/>
        </w:rPr>
        <w:t xml:space="preserve">, dan </w:t>
      </w:r>
      <w:proofErr w:type="spellStart"/>
      <w:r>
        <w:rPr>
          <w:rStyle w:val="Emphasis"/>
        </w:rPr>
        <w:t>Praktisi</w:t>
      </w:r>
      <w:proofErr w:type="spellEnd"/>
      <w:r>
        <w:t xml:space="preserve">, (Jakarta: </w:t>
      </w:r>
      <w:proofErr w:type="spellStart"/>
      <w:r>
        <w:t>Erlangga</w:t>
      </w:r>
      <w:proofErr w:type="spellEnd"/>
      <w:r>
        <w:t xml:space="preserve">, 2005), </w:t>
      </w:r>
      <w:proofErr w:type="spellStart"/>
      <w:r>
        <w:t>hlm</w:t>
      </w:r>
      <w:proofErr w:type="spellEnd"/>
      <w:r>
        <w:t>. 23.</w:t>
      </w:r>
    </w:p>
  </w:footnote>
  <w:footnote w:id="45">
    <w:p w14:paraId="54EC3B05"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6">
    <w:p w14:paraId="05A11AB8" w14:textId="77777777" w:rsidR="00521237" w:rsidRDefault="00E208D8">
      <w:pPr>
        <w:pStyle w:val="FootnoteText"/>
        <w:ind w:firstLine="709"/>
        <w:jc w:val="both"/>
      </w:pPr>
      <w:r>
        <w:rPr>
          <w:rStyle w:val="FootnoteCharacters"/>
        </w:rPr>
        <w:footnoteRef/>
      </w:r>
      <w:r>
        <w:t xml:space="preserve"> </w:t>
      </w:r>
      <w:proofErr w:type="spellStart"/>
      <w:r>
        <w:t>Warpani</w:t>
      </w:r>
      <w:proofErr w:type="spellEnd"/>
      <w:r>
        <w:t xml:space="preserve">, </w:t>
      </w:r>
      <w:proofErr w:type="spellStart"/>
      <w:r>
        <w:rPr>
          <w:rStyle w:val="Emphasis"/>
        </w:rPr>
        <w:t>Pengelolaan</w:t>
      </w:r>
      <w:proofErr w:type="spellEnd"/>
      <w:r>
        <w:rPr>
          <w:rStyle w:val="Emphasis"/>
        </w:rPr>
        <w:t xml:space="preserve"> Lalu Lintas dan </w:t>
      </w:r>
      <w:proofErr w:type="spellStart"/>
      <w:r>
        <w:rPr>
          <w:rStyle w:val="Emphasis"/>
        </w:rPr>
        <w:t>Angkutan</w:t>
      </w:r>
      <w:proofErr w:type="spellEnd"/>
      <w:r>
        <w:rPr>
          <w:rStyle w:val="Emphasis"/>
        </w:rPr>
        <w:t xml:space="preserve"> Jalan</w:t>
      </w:r>
      <w:r>
        <w:t xml:space="preserve">, (Bandung: ITB, 2002), </w:t>
      </w:r>
      <w:proofErr w:type="spellStart"/>
      <w:r>
        <w:t>hlm</w:t>
      </w:r>
      <w:proofErr w:type="spellEnd"/>
      <w:r>
        <w:t>. 108.</w:t>
      </w:r>
    </w:p>
  </w:footnote>
  <w:footnote w:id="47">
    <w:p w14:paraId="108AA78A"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8">
    <w:p w14:paraId="324A106E"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9">
    <w:p w14:paraId="5E6527BF" w14:textId="77777777" w:rsidR="00521237" w:rsidRDefault="00E208D8">
      <w:pPr>
        <w:pStyle w:val="FootnoteText"/>
        <w:ind w:firstLine="709"/>
        <w:jc w:val="both"/>
      </w:pPr>
      <w:r>
        <w:rPr>
          <w:rStyle w:val="FootnoteCharacters"/>
        </w:rPr>
        <w:footnoteRef/>
      </w:r>
      <w:r>
        <w:t xml:space="preserve"> R. </w:t>
      </w:r>
      <w:proofErr w:type="spellStart"/>
      <w:r>
        <w:t>Soesilo</w:t>
      </w:r>
      <w:proofErr w:type="spellEnd"/>
      <w:r>
        <w:t xml:space="preserve">, </w:t>
      </w:r>
      <w:r>
        <w:rPr>
          <w:rStyle w:val="Emphasis"/>
        </w:rPr>
        <w:t xml:space="preserve">Kitab </w:t>
      </w:r>
      <w:proofErr w:type="spellStart"/>
      <w:r>
        <w:rPr>
          <w:rStyle w:val="Emphasis"/>
        </w:rPr>
        <w:t>Undang-Undang</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serta</w:t>
      </w:r>
      <w:proofErr w:type="spellEnd"/>
      <w:r>
        <w:rPr>
          <w:rStyle w:val="Emphasis"/>
        </w:rPr>
        <w:t xml:space="preserve"> </w:t>
      </w:r>
      <w:proofErr w:type="spellStart"/>
      <w:r>
        <w:rPr>
          <w:rStyle w:val="Emphasis"/>
        </w:rPr>
        <w:t>Komentar</w:t>
      </w:r>
      <w:proofErr w:type="spellEnd"/>
      <w:r>
        <w:rPr>
          <w:rStyle w:val="Emphasis"/>
        </w:rPr>
        <w:t xml:space="preserve">-Komentarnya </w:t>
      </w:r>
      <w:proofErr w:type="spellStart"/>
      <w:r>
        <w:rPr>
          <w:rStyle w:val="Emphasis"/>
        </w:rPr>
        <w:t>Lengkap</w:t>
      </w:r>
      <w:proofErr w:type="spellEnd"/>
      <w:r>
        <w:rPr>
          <w:rStyle w:val="Emphasis"/>
        </w:rPr>
        <w:t xml:space="preserve"> Pasal Demi Pasal</w:t>
      </w:r>
      <w:r>
        <w:t xml:space="preserve">, (Bogor: Politeia, 1995), </w:t>
      </w:r>
      <w:proofErr w:type="spellStart"/>
      <w:r>
        <w:t>hlm</w:t>
      </w:r>
      <w:proofErr w:type="spellEnd"/>
      <w:r>
        <w:t>. 98.</w:t>
      </w:r>
    </w:p>
  </w:footnote>
  <w:footnote w:id="50">
    <w:p w14:paraId="69B2B7C8"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(2) dan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51">
    <w:p w14:paraId="084154FE" w14:textId="77777777" w:rsidR="00521237" w:rsidRDefault="00E208D8">
      <w:pPr>
        <w:pStyle w:val="FootnoteText"/>
        <w:ind w:firstLine="709"/>
        <w:jc w:val="both"/>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Nyawa dan </w:t>
      </w:r>
      <w:proofErr w:type="spellStart"/>
      <w:r>
        <w:rPr>
          <w:rStyle w:val="Emphasis"/>
        </w:rPr>
        <w:t>Tubuh</w:t>
      </w:r>
      <w:proofErr w:type="spellEnd"/>
      <w:r>
        <w:t xml:space="preserve">, (Jakarta: Sinar </w:t>
      </w:r>
      <w:proofErr w:type="spellStart"/>
      <w:r>
        <w:t>Grafika</w:t>
      </w:r>
      <w:proofErr w:type="spellEnd"/>
      <w:r>
        <w:t xml:space="preserve">, 2005), </w:t>
      </w:r>
      <w:proofErr w:type="spellStart"/>
      <w:r>
        <w:t>hlm</w:t>
      </w:r>
      <w:proofErr w:type="spellEnd"/>
      <w:r>
        <w:t>. 52.</w:t>
      </w:r>
    </w:p>
  </w:footnote>
  <w:footnote w:id="52">
    <w:p w14:paraId="4D6645E0"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61.</w:t>
      </w:r>
    </w:p>
  </w:footnote>
  <w:footnote w:id="53">
    <w:p w14:paraId="679385A7"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54">
    <w:p w14:paraId="217B4B5C"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55">
    <w:p w14:paraId="1206CD49" w14:textId="77777777" w:rsidR="00521237" w:rsidRDefault="00E208D8">
      <w:pPr>
        <w:pStyle w:val="FootnoteText"/>
        <w:ind w:firstLine="709"/>
      </w:pPr>
      <w:r>
        <w:rPr>
          <w:rStyle w:val="FootnoteCharacters"/>
        </w:rPr>
        <w:footnoteRef/>
      </w:r>
      <w:r>
        <w:t xml:space="preserve"> Andi Hamzah, </w:t>
      </w:r>
      <w:r>
        <w:rPr>
          <w:rStyle w:val="Emphasis"/>
        </w:rPr>
        <w:t>KUHP dan KUHAP</w:t>
      </w:r>
      <w:r>
        <w:t xml:space="preserve">, (Jakarta: </w:t>
      </w:r>
      <w:proofErr w:type="spellStart"/>
      <w:r>
        <w:t>Rineka</w:t>
      </w:r>
      <w:proofErr w:type="spellEnd"/>
      <w:r>
        <w:t xml:space="preserve"> Cipta, 2015), </w:t>
      </w:r>
      <w:proofErr w:type="spellStart"/>
      <w:r>
        <w:t>hlm</w:t>
      </w:r>
      <w:proofErr w:type="spellEnd"/>
      <w:r>
        <w:t>. 39.</w:t>
      </w:r>
    </w:p>
  </w:footnote>
  <w:footnote w:id="56">
    <w:p w14:paraId="29FE1A39" w14:textId="77777777" w:rsidR="00521237" w:rsidRDefault="00E208D8">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RajaGrafindo</w:t>
      </w:r>
      <w:proofErr w:type="spellEnd"/>
      <w:r>
        <w:t xml:space="preserve"> </w:t>
      </w:r>
      <w:proofErr w:type="spellStart"/>
      <w:r>
        <w:t>Persada</w:t>
      </w:r>
      <w:proofErr w:type="spellEnd"/>
      <w:r>
        <w:t xml:space="preserve">, 2016), </w:t>
      </w:r>
      <w:proofErr w:type="spellStart"/>
      <w:r>
        <w:t>hlm</w:t>
      </w:r>
      <w:proofErr w:type="spellEnd"/>
      <w:r>
        <w:t>. 107.</w:t>
      </w:r>
    </w:p>
  </w:footnote>
  <w:footnote w:id="57">
    <w:p w14:paraId="1440D919" w14:textId="77777777" w:rsidR="00521237" w:rsidRDefault="00E208D8">
      <w:pPr>
        <w:pStyle w:val="FootnoteText"/>
        <w:ind w:firstLine="709"/>
      </w:pPr>
      <w:r>
        <w:rPr>
          <w:rStyle w:val="FootnoteCharacters"/>
        </w:rPr>
        <w:footnoteRef/>
      </w:r>
      <w:r>
        <w:t xml:space="preserve"> Pasal 90, Kitab </w:t>
      </w:r>
      <w:proofErr w:type="spellStart"/>
      <w:r>
        <w:t>Undang-Undang</w:t>
      </w:r>
      <w:proofErr w:type="spellEnd"/>
      <w:r>
        <w:t xml:space="preserve"> Hukum </w:t>
      </w:r>
      <w:proofErr w:type="spellStart"/>
      <w:r>
        <w:t>Pidana</w:t>
      </w:r>
      <w:proofErr w:type="spellEnd"/>
      <w:r>
        <w:t>.</w:t>
      </w:r>
    </w:p>
  </w:footnote>
  <w:footnote w:id="58">
    <w:p w14:paraId="16D54623"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2012), </w:t>
      </w:r>
      <w:proofErr w:type="spellStart"/>
      <w:r>
        <w:t>hlm</w:t>
      </w:r>
      <w:proofErr w:type="spellEnd"/>
      <w:r>
        <w:t>. 134.</w:t>
      </w:r>
    </w:p>
  </w:footnote>
  <w:footnote w:id="59">
    <w:p w14:paraId="0EF06D15" w14:textId="77777777" w:rsidR="00521237" w:rsidRDefault="00E208D8">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60">
    <w:p w14:paraId="3895733B" w14:textId="77777777" w:rsidR="00521237" w:rsidRDefault="00E208D8">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2014), </w:t>
      </w:r>
      <w:proofErr w:type="spellStart"/>
      <w:r>
        <w:t>hlm</w:t>
      </w:r>
      <w:proofErr w:type="spellEnd"/>
      <w:r>
        <w:t>. 120.</w:t>
      </w:r>
    </w:p>
  </w:footnote>
  <w:footnote w:id="61">
    <w:p w14:paraId="5872658A"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170621"/>
    <w:rsid w:val="00221815"/>
    <w:rsid w:val="00240C61"/>
    <w:rsid w:val="002D2868"/>
    <w:rsid w:val="0031339E"/>
    <w:rsid w:val="00390585"/>
    <w:rsid w:val="003A5668"/>
    <w:rsid w:val="003B4D56"/>
    <w:rsid w:val="003D4263"/>
    <w:rsid w:val="003E028A"/>
    <w:rsid w:val="003F3247"/>
    <w:rsid w:val="00452657"/>
    <w:rsid w:val="00521237"/>
    <w:rsid w:val="00524EA9"/>
    <w:rsid w:val="005565A7"/>
    <w:rsid w:val="00572AE5"/>
    <w:rsid w:val="00582E7E"/>
    <w:rsid w:val="00602C7E"/>
    <w:rsid w:val="006134C7"/>
    <w:rsid w:val="007346EB"/>
    <w:rsid w:val="00806087"/>
    <w:rsid w:val="00873C67"/>
    <w:rsid w:val="00874500"/>
    <w:rsid w:val="008A6DB9"/>
    <w:rsid w:val="00911BBD"/>
    <w:rsid w:val="0095619F"/>
    <w:rsid w:val="00A210CF"/>
    <w:rsid w:val="00A84096"/>
    <w:rsid w:val="00AF0C87"/>
    <w:rsid w:val="00B25168"/>
    <w:rsid w:val="00BE63F0"/>
    <w:rsid w:val="00CF08A8"/>
    <w:rsid w:val="00D56CAA"/>
    <w:rsid w:val="00DB0BED"/>
    <w:rsid w:val="00DB0F7C"/>
    <w:rsid w:val="00DF6B67"/>
    <w:rsid w:val="00E208D8"/>
    <w:rsid w:val="00E27350"/>
    <w:rsid w:val="00EA59AF"/>
    <w:rsid w:val="00F401FB"/>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3374</Words>
  <Characters>19235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2026-09-18T07:07:00Z</dcterms:created>
  <dcterms:modified xsi:type="dcterms:W3CDTF">2026-09-18T07:07:00Z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