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2A3F2" w14:textId="77777777" w:rsidR="00D6611B" w:rsidRDefault="0092034F">
      <w:pPr>
        <w:pStyle w:val="Heading1"/>
      </w:pPr>
      <w:bookmarkStart w:id="0" w:name="_Toc232115446"/>
      <w:r>
        <w:rPr>
          <w:color w:val="0D0D0D"/>
          <w:szCs w:val="24"/>
        </w:rPr>
        <w:t>BAB II</w:t>
      </w:r>
      <w:bookmarkEnd w:id="0"/>
    </w:p>
    <w:p w14:paraId="71385DE4" w14:textId="77777777" w:rsidR="00D6611B" w:rsidRDefault="0092034F">
      <w:pPr>
        <w:pStyle w:val="Heading1"/>
        <w:rPr>
          <w:color w:val="0D0D0D"/>
          <w:szCs w:val="24"/>
        </w:rPr>
      </w:pPr>
      <w:bookmarkStart w:id="1" w:name="_Toc232115447"/>
      <w:r>
        <w:rPr>
          <w:color w:val="0D0D0D"/>
          <w:szCs w:val="24"/>
        </w:rPr>
        <w:t>TINJAUAN PUSTAKA</w:t>
      </w:r>
      <w:bookmarkEnd w:id="1"/>
    </w:p>
    <w:p w14:paraId="1A76F203" w14:textId="77777777" w:rsidR="00D6611B" w:rsidRDefault="00D6611B">
      <w:pPr>
        <w:rPr>
          <w:color w:val="0D0D0D"/>
          <w:lang w:val="en-US"/>
        </w:rPr>
      </w:pPr>
    </w:p>
    <w:p w14:paraId="602F0C11" w14:textId="77777777" w:rsidR="00D6611B" w:rsidRPr="008C57A8" w:rsidRDefault="0092034F" w:rsidP="00C765F2">
      <w:pPr>
        <w:pStyle w:val="Heading2"/>
        <w:rPr>
          <w:b w:val="0"/>
          <w:bCs w:val="0"/>
          <w:sz w:val="36"/>
          <w:szCs w:val="36"/>
        </w:rPr>
      </w:pPr>
      <w:bookmarkStart w:id="2" w:name="_Toc232115448"/>
      <w:r w:rsidRPr="008C57A8">
        <w:rPr>
          <w:rStyle w:val="Strong"/>
          <w:b/>
          <w:bCs/>
        </w:rPr>
        <w:t xml:space="preserve">A. </w:t>
      </w:r>
      <w:r w:rsidRPr="008C57A8">
        <w:rPr>
          <w:rStyle w:val="Strong"/>
          <w:b/>
          <w:bCs/>
        </w:rPr>
        <w:tab/>
      </w:r>
      <w:proofErr w:type="spellStart"/>
      <w:r w:rsidRPr="008C57A8">
        <w:rPr>
          <w:rStyle w:val="Strong"/>
          <w:b/>
          <w:bCs/>
        </w:rPr>
        <w:t>Tindak</w:t>
      </w:r>
      <w:proofErr w:type="spellEnd"/>
      <w:r w:rsidRPr="008C57A8">
        <w:rPr>
          <w:rStyle w:val="Strong"/>
          <w:b/>
          <w:bCs/>
        </w:rPr>
        <w:t xml:space="preserve"> Pidana</w:t>
      </w:r>
      <w:bookmarkEnd w:id="2"/>
    </w:p>
    <w:p w14:paraId="07EEE41C" w14:textId="77777777" w:rsidR="00D6611B" w:rsidRDefault="0092034F" w:rsidP="00C765F2">
      <w:pPr>
        <w:pStyle w:val="Heading3"/>
        <w:numPr>
          <w:ilvl w:val="0"/>
          <w:numId w:val="5"/>
        </w:numPr>
        <w:rPr>
          <w:b w:val="0"/>
          <w:bCs w:val="0"/>
        </w:rPr>
      </w:pPr>
      <w:bookmarkStart w:id="3" w:name="_Toc232115449"/>
      <w:r>
        <w:rPr>
          <w:b w:val="0"/>
          <w:bCs w:val="0"/>
        </w:rPr>
        <w:t>Pengertian Tindak Pidana</w:t>
      </w:r>
      <w:bookmarkEnd w:id="3"/>
      <w:r>
        <w:rPr>
          <w:b w:val="0"/>
          <w:bCs w:val="0"/>
        </w:rPr>
        <w:t xml:space="preserve"> </w:t>
      </w:r>
    </w:p>
    <w:p w14:paraId="72B1CA47" w14:textId="77777777" w:rsidR="00D6611B" w:rsidRDefault="0092034F" w:rsidP="00C765F2">
      <w:pPr>
        <w:spacing w:line="480" w:lineRule="auto"/>
        <w:ind w:firstLine="709"/>
        <w:jc w:val="both"/>
      </w:pPr>
      <w:r>
        <w:t>Tindak pidana merupakan istilah yang digunakan dalam hukum pidana untuk menunjukkan suatu perbuatan yang dilarang oleh undang-undang dan terhadap pelanggarnya diancam dengan pidana. Konsep ini menjadi dasar utama dalam penegakan hukum pidana karena tidak semua perbuatan yang dianggap salah oleh masyarakat dapat langsung dipidana, melainkan harus lebih dahulu dirumuskan sebagai larangan dalam peraturan perundang-undangan.</w:t>
      </w:r>
      <w:r>
        <w:rPr>
          <w:rStyle w:val="FootnoteReference"/>
        </w:rPr>
        <w:footnoteReference w:id="1"/>
      </w:r>
    </w:p>
    <w:p w14:paraId="29AA0A45" w14:textId="77777777" w:rsidR="00D6611B" w:rsidRDefault="0092034F" w:rsidP="00C765F2">
      <w:pPr>
        <w:spacing w:line="480" w:lineRule="auto"/>
        <w:ind w:firstLine="709"/>
        <w:jc w:val="both"/>
      </w:pPr>
      <w:r>
        <w:t xml:space="preserve">Dalam literatur hukum pidana, tindak pidana sering dipadankan dengan istilah </w:t>
      </w:r>
      <w:proofErr w:type="spellStart"/>
      <w:r>
        <w:t>strafbaar</w:t>
      </w:r>
      <w:proofErr w:type="spellEnd"/>
      <w:r>
        <w:t xml:space="preserve"> </w:t>
      </w:r>
      <w:proofErr w:type="spellStart"/>
      <w:r>
        <w:t>feit</w:t>
      </w:r>
      <w:proofErr w:type="spellEnd"/>
      <w:r>
        <w:t>. Istilah ini merujuk pada perbuatan yang dapat dikenakan pidana karena memenuhi unsur-unsur tertentu yang telah ditetapkan hukum. Dengan demikian, tindak pidana bukan hanya menunjuk pada perbuatan lahiriah, tetapi juga pada adanya hubungan antara perbuatan itu dengan norma hukum yang dilanggar.</w:t>
      </w:r>
      <w:r>
        <w:rPr>
          <w:rStyle w:val="FootnoteReference"/>
        </w:rPr>
        <w:footnoteReference w:id="2"/>
      </w:r>
    </w:p>
    <w:p w14:paraId="7B58B1EF" w14:textId="77777777" w:rsidR="00D6611B" w:rsidRDefault="0092034F" w:rsidP="00C765F2">
      <w:pPr>
        <w:spacing w:line="480" w:lineRule="auto"/>
        <w:ind w:firstLine="709"/>
        <w:jc w:val="both"/>
      </w:pPr>
      <w:r>
        <w:t>Pengertian tindak pidana juga mengandung arti bahwa suatu perbuatan harus memiliki sifat melawan hukum. Sifat melawan hukum ini menunjukkan bahwa perbuatan tersebut bertentangan dengan tata hukum yang berlaku, baik karena melanggar ketentuan tertulis maupun karena bertentangan dengan rasa keadilan yang hidup dalam masyarakat.</w:t>
      </w:r>
      <w:r>
        <w:rPr>
          <w:rStyle w:val="FootnoteReference"/>
        </w:rPr>
        <w:footnoteReference w:id="3"/>
      </w:r>
    </w:p>
    <w:p w14:paraId="14AF18DC" w14:textId="77777777" w:rsidR="00D6611B" w:rsidRDefault="0092034F" w:rsidP="00C765F2">
      <w:pPr>
        <w:spacing w:line="480" w:lineRule="auto"/>
        <w:ind w:firstLine="709"/>
        <w:jc w:val="both"/>
      </w:pPr>
      <w:r>
        <w:lastRenderedPageBreak/>
        <w:t>Selain itu, tindak pidana berkaitan erat dengan unsur kesalahan. Dalam hukum pidana, seseorang pada dasarnya baru dapat dimintai pertanggungjawaban apabila perbuatan yang dilakukannya mengandung kesengajaan atau kelalaian. Oleh sebab itu, pembahasan tentang tindak pidana selalu berkaitan dengan perbuatan, larangan hukum, dan kesalahan dari pelaku.</w:t>
      </w:r>
      <w:r>
        <w:rPr>
          <w:rStyle w:val="FootnoteReference"/>
        </w:rPr>
        <w:footnoteReference w:id="4"/>
      </w:r>
    </w:p>
    <w:p w14:paraId="1C596D4A" w14:textId="77777777" w:rsidR="00D6611B" w:rsidRDefault="0092034F" w:rsidP="00C765F2">
      <w:pPr>
        <w:spacing w:line="480" w:lineRule="auto"/>
        <w:ind w:firstLine="709"/>
        <w:jc w:val="both"/>
      </w:pPr>
      <w:r>
        <w:t>Tindak pidana juga berfungsi sebagai batas bagi negara dalam menggunakan kekuasaan untuk menghukum. Negara tidak boleh menjatuhkan pidana secara sewenang-wenang tanpa dasar hukum yang jelas. Dengan kata lain, konsep tindak pidana merupakan wujud dari asas legalitas yang memberikan jaminan kepastian hukum bagi setiap orang.</w:t>
      </w:r>
      <w:r>
        <w:rPr>
          <w:rStyle w:val="FootnoteReference"/>
        </w:rPr>
        <w:footnoteReference w:id="5"/>
      </w:r>
    </w:p>
    <w:p w14:paraId="2DC280A8" w14:textId="77777777" w:rsidR="00D6611B" w:rsidRDefault="0092034F" w:rsidP="00C765F2">
      <w:pPr>
        <w:spacing w:line="480" w:lineRule="auto"/>
        <w:ind w:firstLine="709"/>
        <w:jc w:val="both"/>
      </w:pPr>
      <w:r>
        <w:t>Dengan demikian, tindak pidana dalam penelitian ini dipahami sebagai perbuatan yang dilarang oleh hukum pidana, dilakukan oleh seseorang secara melawan hukum, dan terhadapnya dapat dikenakan pidana apabila memenuhi unsur-unsur yang ditentukan oleh undang-undang. Dalam konteks penelitian ini, perbuatan tersebut berupa penganiayaan terhadap perempuan yang dianalisis berdasarkan Pasal 466 KUHP.</w:t>
      </w:r>
    </w:p>
    <w:p w14:paraId="19CE7F88" w14:textId="77777777" w:rsidR="00D6611B" w:rsidRDefault="0092034F" w:rsidP="00C765F2">
      <w:pPr>
        <w:pStyle w:val="Heading3"/>
        <w:numPr>
          <w:ilvl w:val="0"/>
          <w:numId w:val="5"/>
        </w:numPr>
        <w:rPr>
          <w:b w:val="0"/>
          <w:bCs w:val="0"/>
        </w:rPr>
      </w:pPr>
      <w:bookmarkStart w:id="4" w:name="_Toc232115450"/>
      <w:proofErr w:type="spellStart"/>
      <w:r>
        <w:rPr>
          <w:b w:val="0"/>
          <w:bCs w:val="0"/>
        </w:rPr>
        <w:t>Unsur-Unsur</w:t>
      </w:r>
      <w:proofErr w:type="spellEnd"/>
      <w:r>
        <w:rPr>
          <w:b w:val="0"/>
          <w:bCs w:val="0"/>
        </w:rPr>
        <w:t xml:space="preserve"> Tindak Pidana</w:t>
      </w:r>
      <w:bookmarkEnd w:id="4"/>
      <w:r>
        <w:rPr>
          <w:b w:val="0"/>
          <w:bCs w:val="0"/>
        </w:rPr>
        <w:t xml:space="preserve"> </w:t>
      </w:r>
    </w:p>
    <w:p w14:paraId="21FF375C" w14:textId="77777777" w:rsidR="00D6611B" w:rsidRDefault="0092034F" w:rsidP="00C765F2">
      <w:pPr>
        <w:spacing w:line="480" w:lineRule="auto"/>
        <w:ind w:firstLine="709"/>
        <w:jc w:val="both"/>
      </w:pPr>
      <w:r>
        <w:t>Unsur pertama tindak pidana adalah adanya perbuatan manusia. Hukum pidana hanya dapat menjangkau tindakan yang dilakukan oleh manusia, baik berupa tindakan aktif maupun pasif, selama tindakan tersebut mempunyai arti hukum dan berkaitan dengan rumusan delik dalam undang-undang.</w:t>
      </w:r>
      <w:r>
        <w:rPr>
          <w:rStyle w:val="FootnoteReference"/>
        </w:rPr>
        <w:footnoteReference w:id="6"/>
      </w:r>
    </w:p>
    <w:p w14:paraId="56FB8BAD" w14:textId="77777777" w:rsidR="00D6611B" w:rsidRDefault="0092034F" w:rsidP="00C765F2">
      <w:pPr>
        <w:spacing w:line="480" w:lineRule="auto"/>
        <w:ind w:firstLine="709"/>
        <w:jc w:val="both"/>
      </w:pPr>
      <w:r>
        <w:lastRenderedPageBreak/>
        <w:t>Unsur kedua adalah sifat melawan hukum. Perbuatan yang dilakukan harus bertentangan dengan hukum, artinya melanggar ketentuan yang berlaku atau merusak kepentingan hukum yang seharusnya dilindungi oleh negara. Tanpa adanya sifat melawan hukum, suatu perbuatan tidak dapat dikualifikasikan sebagai tindak pidana.</w:t>
      </w:r>
      <w:r>
        <w:rPr>
          <w:rStyle w:val="FootnoteReference"/>
        </w:rPr>
        <w:footnoteReference w:id="7"/>
      </w:r>
    </w:p>
    <w:p w14:paraId="0B2A6217" w14:textId="77777777" w:rsidR="00D6611B" w:rsidRDefault="0092034F" w:rsidP="00C765F2">
      <w:pPr>
        <w:spacing w:line="480" w:lineRule="auto"/>
        <w:ind w:firstLine="709"/>
        <w:jc w:val="both"/>
      </w:pPr>
      <w:r>
        <w:t>Unsur ketiga adalah adanya kesalahan dari pelaku. Kesalahan dapat berbentuk kesengajaan maupun kelalaian. Dalam konteks tindak pidana penganiayaan, unsur kesalahan sangat penting karena berkaitan dengan kesadaran pelaku dalam melakukan perbuatan yang menimbulkan rasa sakit atau luka terhadap korban.</w:t>
      </w:r>
      <w:r>
        <w:rPr>
          <w:rStyle w:val="FootnoteReference"/>
        </w:rPr>
        <w:footnoteReference w:id="8"/>
      </w:r>
    </w:p>
    <w:p w14:paraId="7401B198" w14:textId="77777777" w:rsidR="00D6611B" w:rsidRDefault="0092034F" w:rsidP="00C765F2">
      <w:pPr>
        <w:spacing w:line="480" w:lineRule="auto"/>
        <w:ind w:firstLine="709"/>
        <w:jc w:val="both"/>
      </w:pPr>
      <w:r>
        <w:t>Unsur keempat adalah adanya ancaman pidana. Suatu perbuatan tidak dapat disebut tindak pidana apabila tidak ada ketentuan hukum yang mengatur ancaman pidananya. Hal ini sejalan dengan prinsip legalitas, yaitu tiada pidana tanpa undang-undang yang mengaturnya terlebih dahulu.</w:t>
      </w:r>
      <w:r>
        <w:rPr>
          <w:rStyle w:val="FootnoteReference"/>
        </w:rPr>
        <w:footnoteReference w:id="9"/>
      </w:r>
    </w:p>
    <w:p w14:paraId="0006F8A0" w14:textId="77777777" w:rsidR="00D6611B" w:rsidRDefault="0092034F" w:rsidP="00C765F2">
      <w:pPr>
        <w:spacing w:line="480" w:lineRule="auto"/>
        <w:ind w:firstLine="709"/>
        <w:jc w:val="both"/>
      </w:pPr>
      <w:r>
        <w:t>Unsur kelima adalah kemampuan bertanggung jawab dari pelaku. Hukum pidana tidak hanya melihat perbuatannya, tetapi juga menilai apakah pelaku secara psikis dan yuridis mampu mempertanggungjawabkan tindakannya di hadapan hukum. Jika unsur ini tidak terpenuhi, maka pidana tidak dapat dijatuhkan dengan sendirinya.</w:t>
      </w:r>
      <w:r>
        <w:rPr>
          <w:rStyle w:val="FootnoteReference"/>
        </w:rPr>
        <w:footnoteReference w:id="10"/>
      </w:r>
    </w:p>
    <w:p w14:paraId="267CD4E3" w14:textId="77777777" w:rsidR="00D6611B" w:rsidRDefault="0092034F" w:rsidP="00C765F2">
      <w:pPr>
        <w:spacing w:line="480" w:lineRule="auto"/>
        <w:ind w:firstLine="709"/>
        <w:jc w:val="both"/>
      </w:pPr>
      <w:r>
        <w:lastRenderedPageBreak/>
        <w:t>Dengan demikian, unsur-unsur tindak pidana dalam penelitian ini mencakup adanya perbuatan menyerang tubuh orang lain, adanya sifat melawan hukum, adanya kesalahan pelaku, adanya ancaman pidana dalam Pasal 466 KUHP, serta adanya kemampuan bertanggung jawab dari pelaku penganiayaan terhadap perempuan.</w:t>
      </w:r>
    </w:p>
    <w:p w14:paraId="1DFFDC3D" w14:textId="77777777" w:rsidR="00D6611B" w:rsidRDefault="0092034F" w:rsidP="00C765F2">
      <w:pPr>
        <w:pStyle w:val="Heading3"/>
        <w:numPr>
          <w:ilvl w:val="0"/>
          <w:numId w:val="5"/>
        </w:numPr>
        <w:rPr>
          <w:b w:val="0"/>
          <w:bCs w:val="0"/>
        </w:rPr>
      </w:pPr>
      <w:bookmarkStart w:id="5" w:name="_Toc232115451"/>
      <w:r>
        <w:rPr>
          <w:b w:val="0"/>
          <w:bCs w:val="0"/>
        </w:rPr>
        <w:t>Jenis-Jenis Tindak Pidana</w:t>
      </w:r>
      <w:bookmarkEnd w:id="5"/>
      <w:r>
        <w:rPr>
          <w:b w:val="0"/>
          <w:bCs w:val="0"/>
        </w:rPr>
        <w:t xml:space="preserve"> </w:t>
      </w:r>
    </w:p>
    <w:p w14:paraId="7BB0D41E" w14:textId="77777777" w:rsidR="00D6611B" w:rsidRDefault="0092034F" w:rsidP="00C765F2">
      <w:pPr>
        <w:spacing w:line="480" w:lineRule="auto"/>
        <w:ind w:firstLine="709"/>
        <w:jc w:val="both"/>
      </w:pPr>
      <w:r>
        <w:t>Dalam hukum pidana, tindak pidana dapat dibedakan dalam beberapa jenis. Salah satu pembagian yang paling dikenal ialah tindak pidana kejahatan dan tindak pidana pelanggaran. Pembagian ini penting karena menunjukkan tingkat keseriusan suatu perbuatan dan memengaruhi penilaian hukum terhadapnya.</w:t>
      </w:r>
      <w:r>
        <w:rPr>
          <w:rStyle w:val="FootnoteReference"/>
        </w:rPr>
        <w:footnoteReference w:id="11"/>
      </w:r>
    </w:p>
    <w:p w14:paraId="49C6796F" w14:textId="77777777" w:rsidR="00D6611B" w:rsidRDefault="0092034F" w:rsidP="00C765F2">
      <w:pPr>
        <w:spacing w:line="480" w:lineRule="auto"/>
        <w:ind w:firstLine="709"/>
        <w:jc w:val="both"/>
      </w:pPr>
      <w:r>
        <w:t xml:space="preserve">Selain itu, tindak pidana dapat dibedakan menjadi tindak pidana </w:t>
      </w:r>
      <w:proofErr w:type="spellStart"/>
      <w:r>
        <w:t>formil</w:t>
      </w:r>
      <w:proofErr w:type="spellEnd"/>
      <w:r>
        <w:t xml:space="preserve"> dan tindak pidana </w:t>
      </w:r>
      <w:proofErr w:type="spellStart"/>
      <w:r>
        <w:t>materil</w:t>
      </w:r>
      <w:proofErr w:type="spellEnd"/>
      <w:r>
        <w:t xml:space="preserve">. Tindak pidana </w:t>
      </w:r>
      <w:proofErr w:type="spellStart"/>
      <w:r>
        <w:t>formil</w:t>
      </w:r>
      <w:proofErr w:type="spellEnd"/>
      <w:r>
        <w:t xml:space="preserve"> menitikberatkan pada perbuatan yang dilarang, sedangkan tindak pidana </w:t>
      </w:r>
      <w:proofErr w:type="spellStart"/>
      <w:r>
        <w:t>materil</w:t>
      </w:r>
      <w:proofErr w:type="spellEnd"/>
      <w:r>
        <w:t xml:space="preserve"> menitikberatkan pada akibat yang ditimbulkan. Dalam perkara penganiayaan, akibat berupa rasa sakit, luka, atau gangguan kesehatan menjadi bagian penting dalam pembuktiannya.</w:t>
      </w:r>
      <w:r>
        <w:rPr>
          <w:rStyle w:val="FootnoteReference"/>
        </w:rPr>
        <w:footnoteReference w:id="12"/>
      </w:r>
    </w:p>
    <w:p w14:paraId="5E2D7EF3" w14:textId="77777777" w:rsidR="00D6611B" w:rsidRDefault="0092034F" w:rsidP="00C765F2">
      <w:pPr>
        <w:spacing w:line="480" w:lineRule="auto"/>
        <w:ind w:firstLine="709"/>
        <w:jc w:val="both"/>
      </w:pPr>
      <w:r>
        <w:t>Tindak pidana juga dapat dibedakan menjadi tindak pidana yang dilakukan dengan sengaja dan tindak pidana yang dilakukan karena kelalaian. Penganiayaan pada umumnya termasuk tindak pidana yang dilakukan dengan sengaja, karena pelaku secara sadar melakukan perbuatan yang menyerang tubuh korban.</w:t>
      </w:r>
      <w:r>
        <w:rPr>
          <w:rStyle w:val="FootnoteReference"/>
        </w:rPr>
        <w:footnoteReference w:id="13"/>
      </w:r>
    </w:p>
    <w:p w14:paraId="126C1223" w14:textId="77777777" w:rsidR="00D6611B" w:rsidRDefault="0092034F" w:rsidP="00C765F2">
      <w:pPr>
        <w:spacing w:line="480" w:lineRule="auto"/>
        <w:ind w:firstLine="709"/>
        <w:jc w:val="both"/>
      </w:pPr>
      <w:r>
        <w:t xml:space="preserve">Dari segi cara pelaksanaannya, tindak pidana dapat berupa tindak pidana aktif dan tindak pidana pasif. Tindak pidana aktif terjadi karena pelaku melakukan </w:t>
      </w:r>
      <w:r>
        <w:lastRenderedPageBreak/>
        <w:t>sesuatu yang dilarang, sedangkan tindak pidana pasif terjadi karena pelaku tidak melakukan sesuatu yang diwajibkan. Penganiayaan termasuk tindak pidana aktif karena pelaku secara langsung melakukan serangan fisik terhadap korban.</w:t>
      </w:r>
      <w:r>
        <w:rPr>
          <w:rStyle w:val="FootnoteReference"/>
        </w:rPr>
        <w:footnoteReference w:id="14"/>
      </w:r>
    </w:p>
    <w:p w14:paraId="570084BB" w14:textId="77777777" w:rsidR="00D6611B" w:rsidRDefault="0092034F" w:rsidP="00C765F2">
      <w:pPr>
        <w:spacing w:line="480" w:lineRule="auto"/>
        <w:ind w:firstLine="709"/>
        <w:jc w:val="both"/>
      </w:pPr>
      <w:r>
        <w:t>Dilihat dari objek perlindungannya, ada tindak pidana terhadap nyawa, tubuh, harta benda, kehormatan, dan keamanan umum. Penganiayaan termasuk tindak pidana yang menyerang tubuh manusia, sehingga objek perlindungan hukumnya adalah integritas fisik dan kesehatan korban.</w:t>
      </w:r>
      <w:r>
        <w:rPr>
          <w:rStyle w:val="FootnoteReference"/>
        </w:rPr>
        <w:footnoteReference w:id="15"/>
      </w:r>
    </w:p>
    <w:p w14:paraId="49F0E6BB" w14:textId="77777777" w:rsidR="00D6611B" w:rsidRDefault="0092034F" w:rsidP="00C765F2">
      <w:pPr>
        <w:spacing w:line="480" w:lineRule="auto"/>
        <w:ind w:firstLine="709"/>
        <w:jc w:val="both"/>
      </w:pPr>
      <w:r>
        <w:t>Dengan demikian, jenis tindak pidana yang relevan dalam penelitian ini adalah tindak pidana kejahatan, tindak pidana aktif, dan tindak pidana yang dilakukan dengan sengaja, karena penganiayaan terhadap perempuan pada dasarnya merupakan serangan fisik yang dilakukan pelaku terhadap tubuh korban secara melawan hukum.</w:t>
      </w:r>
    </w:p>
    <w:p w14:paraId="39D063E2" w14:textId="77777777" w:rsidR="00D6611B" w:rsidRDefault="0092034F" w:rsidP="00C765F2">
      <w:pPr>
        <w:pStyle w:val="Heading3"/>
        <w:numPr>
          <w:ilvl w:val="0"/>
          <w:numId w:val="5"/>
        </w:numPr>
        <w:rPr>
          <w:b w:val="0"/>
          <w:bCs w:val="0"/>
        </w:rPr>
      </w:pPr>
      <w:bookmarkStart w:id="6" w:name="_Toc232115452"/>
      <w:r>
        <w:rPr>
          <w:b w:val="0"/>
          <w:bCs w:val="0"/>
        </w:rPr>
        <w:t>Pertanggungjawaban Pidana dalam Tindak Pidana</w:t>
      </w:r>
      <w:bookmarkEnd w:id="6"/>
      <w:r>
        <w:rPr>
          <w:b w:val="0"/>
          <w:bCs w:val="0"/>
        </w:rPr>
        <w:t xml:space="preserve"> </w:t>
      </w:r>
    </w:p>
    <w:p w14:paraId="0A94A7AD" w14:textId="77777777" w:rsidR="00D6611B" w:rsidRDefault="0092034F" w:rsidP="00C765F2">
      <w:pPr>
        <w:spacing w:line="480" w:lineRule="auto"/>
        <w:ind w:firstLine="709"/>
        <w:jc w:val="both"/>
      </w:pPr>
      <w:r>
        <w:t>Pertanggungjawaban pidana merupakan konsekuensi yuridis dari tindak pidana yang dilakukan oleh seseorang. Setelah terbukti ada perbuatan yang memenuhi unsur delik, hukum pidana masih harus menilai apakah pelaku dapat dimintai pertanggungjawaban atas perbuatannya itu.</w:t>
      </w:r>
      <w:r>
        <w:rPr>
          <w:rStyle w:val="FootnoteReference"/>
        </w:rPr>
        <w:footnoteReference w:id="16"/>
      </w:r>
    </w:p>
    <w:p w14:paraId="03F151C5" w14:textId="77777777" w:rsidR="00D6611B" w:rsidRDefault="0092034F" w:rsidP="00C765F2">
      <w:pPr>
        <w:spacing w:line="480" w:lineRule="auto"/>
        <w:ind w:firstLine="709"/>
        <w:jc w:val="both"/>
      </w:pPr>
      <w:r>
        <w:t xml:space="preserve">Dalam hukum pidana berlaku asas bahwa tidak ada pidana tanpa kesalahan. Artinya, seseorang hanya dapat dipidana apabila ia melakukan tindak pidana dan pada dirinya terdapat kesalahan yang dapat dipersalahkan secara hukum. Asas ini </w:t>
      </w:r>
      <w:r>
        <w:lastRenderedPageBreak/>
        <w:t>menunjukkan bahwa pidana tidak boleh dijatuhkan secara otomatis hanya karena suatu akibat telah terjadi.</w:t>
      </w:r>
      <w:r>
        <w:rPr>
          <w:rStyle w:val="FootnoteReference"/>
        </w:rPr>
        <w:footnoteReference w:id="17"/>
      </w:r>
    </w:p>
    <w:p w14:paraId="5BDAB5B3" w14:textId="77777777" w:rsidR="00D6611B" w:rsidRDefault="0092034F" w:rsidP="00C765F2">
      <w:pPr>
        <w:spacing w:line="480" w:lineRule="auto"/>
        <w:ind w:firstLine="709"/>
        <w:jc w:val="both"/>
      </w:pPr>
      <w:r>
        <w:t>Pertanggungjawaban pidana juga berkaitan dengan kemampuan bertanggung jawab. Apabila pelaku berada dalam keadaan yang membuatnya tidak mampu memahami arti perbuatannya atau tidak mampu mengendalikan kehendaknya, maka hal itu dapat memengaruhi penilaian hukum terhadap dirinya.</w:t>
      </w:r>
      <w:r>
        <w:rPr>
          <w:rStyle w:val="FootnoteReference"/>
        </w:rPr>
        <w:footnoteReference w:id="18"/>
      </w:r>
    </w:p>
    <w:p w14:paraId="70798AA3" w14:textId="77777777" w:rsidR="00D6611B" w:rsidRDefault="0092034F" w:rsidP="00C765F2">
      <w:pPr>
        <w:spacing w:line="480" w:lineRule="auto"/>
        <w:ind w:firstLine="709"/>
        <w:jc w:val="both"/>
      </w:pPr>
      <w:r>
        <w:t>Dalam tindak pidana penganiayaan, pertanggungjawaban pidana biasanya bertumpu pada adanya kesengajaan melakukan serangan terhadap tubuh korban. Oleh karena itu, pembuktian terhadap perbuatan, niat, dan akibat yang timbul menjadi sangat penting dalam menentukan dapat tidaknya pelaku dipidana.</w:t>
      </w:r>
      <w:r>
        <w:rPr>
          <w:rStyle w:val="FootnoteReference"/>
        </w:rPr>
        <w:footnoteReference w:id="19"/>
      </w:r>
    </w:p>
    <w:p w14:paraId="03898C59" w14:textId="44CE3DD3" w:rsidR="00D6611B" w:rsidRDefault="0092034F" w:rsidP="00C765F2">
      <w:pPr>
        <w:spacing w:line="480" w:lineRule="auto"/>
        <w:ind w:firstLine="709"/>
        <w:jc w:val="both"/>
      </w:pPr>
      <w:r>
        <w:t>Selain itu, pertanggungjawaban pidana juga mensyaratkan adanya hubungan sebab-akibat antara perbuatan pelaku dengan akibat yang dialami korban. Dalam perkara penganiayaan terhadap perempuan, hal ini berarti bahwa luka atau rasa sakit yang diderita korban harus terbukti merupakan akibat langsung dari tindakan pelaku.</w:t>
      </w:r>
      <w:r>
        <w:rPr>
          <w:rStyle w:val="FootnoteReference"/>
        </w:rPr>
        <w:footnoteReference w:id="20"/>
      </w:r>
    </w:p>
    <w:p w14:paraId="4ED9DE8B" w14:textId="77777777" w:rsidR="00D6611B" w:rsidRPr="008C57A8" w:rsidRDefault="0092034F" w:rsidP="00C765F2">
      <w:pPr>
        <w:pStyle w:val="Heading2"/>
        <w:rPr>
          <w:b w:val="0"/>
          <w:bCs w:val="0"/>
        </w:rPr>
      </w:pPr>
      <w:bookmarkStart w:id="7" w:name="_Toc232115453"/>
      <w:r w:rsidRPr="008C57A8">
        <w:rPr>
          <w:rStyle w:val="Strong"/>
          <w:b/>
          <w:bCs/>
        </w:rPr>
        <w:t xml:space="preserve">B. </w:t>
      </w:r>
      <w:r w:rsidRPr="008C57A8">
        <w:rPr>
          <w:rStyle w:val="Strong"/>
          <w:b/>
          <w:bCs/>
        </w:rPr>
        <w:tab/>
      </w:r>
      <w:proofErr w:type="spellStart"/>
      <w:r w:rsidRPr="008C57A8">
        <w:rPr>
          <w:rStyle w:val="Strong"/>
          <w:b/>
          <w:bCs/>
        </w:rPr>
        <w:t>Penganiayaan</w:t>
      </w:r>
      <w:bookmarkEnd w:id="7"/>
      <w:proofErr w:type="spellEnd"/>
    </w:p>
    <w:p w14:paraId="173B4B69" w14:textId="77777777" w:rsidR="00D6611B" w:rsidRDefault="0092034F" w:rsidP="00C765F2">
      <w:pPr>
        <w:pStyle w:val="Heading3"/>
        <w:numPr>
          <w:ilvl w:val="0"/>
          <w:numId w:val="11"/>
        </w:numPr>
        <w:rPr>
          <w:b w:val="0"/>
          <w:bCs w:val="0"/>
        </w:rPr>
      </w:pPr>
      <w:bookmarkStart w:id="8" w:name="_Toc232115454"/>
      <w:r>
        <w:rPr>
          <w:b w:val="0"/>
          <w:bCs w:val="0"/>
        </w:rPr>
        <w:t>Pengertian Penganiayaan</w:t>
      </w:r>
      <w:bookmarkEnd w:id="8"/>
      <w:r>
        <w:rPr>
          <w:b w:val="0"/>
          <w:bCs w:val="0"/>
        </w:rPr>
        <w:t xml:space="preserve"> </w:t>
      </w:r>
    </w:p>
    <w:p w14:paraId="58C8CC4A" w14:textId="77777777" w:rsidR="00D6611B" w:rsidRDefault="0092034F" w:rsidP="00C765F2">
      <w:pPr>
        <w:spacing w:line="480" w:lineRule="auto"/>
        <w:ind w:firstLine="709"/>
        <w:jc w:val="both"/>
      </w:pPr>
      <w:r>
        <w:t xml:space="preserve">Penganiayaan adalah perbuatan yang menyerang tubuh orang lain sehingga menimbulkan rasa sakit, luka, atau gangguan kesehatan. Dalam hukum pidana, </w:t>
      </w:r>
      <w:r>
        <w:lastRenderedPageBreak/>
        <w:t>penganiayaan dipandang sebagai perbuatan melawan hukum yang secara langsung menyerang integritas fisik seseorang.</w:t>
      </w:r>
      <w:r>
        <w:rPr>
          <w:rStyle w:val="FootnoteReference"/>
        </w:rPr>
        <w:footnoteReference w:id="21"/>
      </w:r>
    </w:p>
    <w:p w14:paraId="2A522839" w14:textId="77777777" w:rsidR="00D6611B" w:rsidRDefault="0092034F" w:rsidP="00C765F2">
      <w:pPr>
        <w:spacing w:line="480" w:lineRule="auto"/>
        <w:ind w:firstLine="709"/>
        <w:jc w:val="both"/>
      </w:pPr>
      <w:r>
        <w:t>Secara umum, penganiayaan tidak selalu harus mengakibatkan luka berat. Menimbulkan rasa sakit saja pada dasarnya sudah dapat menjadi bagian dari penganiayaan apabila dilakukan dengan sengaja dan melawan hukum. Dengan demikian, ruang lingkup penganiayaan cukup luas dalam hukum pidana.</w:t>
      </w:r>
      <w:r>
        <w:rPr>
          <w:rStyle w:val="FootnoteReference"/>
        </w:rPr>
        <w:footnoteReference w:id="22"/>
      </w:r>
    </w:p>
    <w:p w14:paraId="2CDDD76B" w14:textId="77777777" w:rsidR="00D6611B" w:rsidRDefault="0092034F" w:rsidP="00C765F2">
      <w:pPr>
        <w:spacing w:line="480" w:lineRule="auto"/>
        <w:ind w:firstLine="709"/>
        <w:jc w:val="both"/>
      </w:pPr>
      <w:r>
        <w:t>Penganiayaan juga merupakan bentuk tindak pidana yang menyerang kepentingan hukum berupa tubuh dan kesehatan manusia. Karena itu, perlindungan hukum terhadap korban penganiayaan menjadi penting, sebab tubuh manusia dipandang sebagai objek hukum yang harus dijaga dari serangan yang tidak sah.</w:t>
      </w:r>
      <w:r>
        <w:rPr>
          <w:rStyle w:val="FootnoteReference"/>
        </w:rPr>
        <w:footnoteReference w:id="23"/>
      </w:r>
    </w:p>
    <w:p w14:paraId="559DED00" w14:textId="77777777" w:rsidR="00D6611B" w:rsidRDefault="0092034F" w:rsidP="00C765F2">
      <w:pPr>
        <w:spacing w:line="480" w:lineRule="auto"/>
        <w:ind w:firstLine="709"/>
        <w:jc w:val="both"/>
      </w:pPr>
      <w:r>
        <w:t>Dalam praktik, penganiayaan dapat terjadi dalam berbagai bentuk, seperti memukul, menendang, menampar, menjambak, atau tindakan lain yang menimbulkan rasa sakit pada korban. Bentuk tindakan itu tidak selalu harus menggunakan alat, karena penggunaan tangan kosong pun dapat memenuhi unsur penganiayaan.</w:t>
      </w:r>
      <w:r>
        <w:rPr>
          <w:rStyle w:val="FootnoteReference"/>
        </w:rPr>
        <w:footnoteReference w:id="24"/>
      </w:r>
    </w:p>
    <w:p w14:paraId="2699FDA1" w14:textId="77777777" w:rsidR="00D6611B" w:rsidRDefault="0092034F" w:rsidP="00C765F2">
      <w:pPr>
        <w:spacing w:line="480" w:lineRule="auto"/>
        <w:ind w:firstLine="709"/>
        <w:jc w:val="both"/>
      </w:pPr>
      <w:r>
        <w:t>Dari sudut pandang hukum pidana, penganiayaan juga mengandung unsur kesengajaan. Artinya, pelaku menyadari dan menghendaki perbuatannya yang menyerang tubuh korban. Oleh sebab itu, penganiayaan berbeda dengan perbuatan yang hanya sekadar menimbulkan akibat tanpa adanya kehendak menyerang.</w:t>
      </w:r>
      <w:r>
        <w:rPr>
          <w:rStyle w:val="FootnoteReference"/>
        </w:rPr>
        <w:footnoteReference w:id="25"/>
      </w:r>
    </w:p>
    <w:p w14:paraId="7CA3E127" w14:textId="77777777" w:rsidR="00D6611B" w:rsidRDefault="0092034F" w:rsidP="00C765F2">
      <w:pPr>
        <w:spacing w:line="480" w:lineRule="auto"/>
        <w:ind w:firstLine="709"/>
        <w:jc w:val="both"/>
      </w:pPr>
      <w:r>
        <w:t xml:space="preserve">Dengan demikian, penganiayaan dalam penelitian ini dipahami sebagai perbuatan sengaja yang menyerang tubuh perempuan korban sehingga </w:t>
      </w:r>
      <w:r>
        <w:lastRenderedPageBreak/>
        <w:t>menimbulkan rasa sakit atau luka, yang kemudian dianalisis kesesuaiannya dengan Pasal 466 KUHP.</w:t>
      </w:r>
    </w:p>
    <w:p w14:paraId="360182F0" w14:textId="77777777" w:rsidR="00D6611B" w:rsidRDefault="0092034F" w:rsidP="00C765F2">
      <w:pPr>
        <w:pStyle w:val="Heading3"/>
        <w:numPr>
          <w:ilvl w:val="0"/>
          <w:numId w:val="11"/>
        </w:numPr>
        <w:rPr>
          <w:b w:val="0"/>
          <w:bCs w:val="0"/>
        </w:rPr>
      </w:pPr>
      <w:bookmarkStart w:id="9" w:name="_Toc232115455"/>
      <w:r>
        <w:rPr>
          <w:b w:val="0"/>
          <w:bCs w:val="0"/>
        </w:rPr>
        <w:t>Dasar Hukum Tindak Pidana Penganiayaan</w:t>
      </w:r>
      <w:bookmarkEnd w:id="9"/>
      <w:r>
        <w:rPr>
          <w:b w:val="0"/>
          <w:bCs w:val="0"/>
        </w:rPr>
        <w:t xml:space="preserve"> </w:t>
      </w:r>
    </w:p>
    <w:p w14:paraId="73090F12" w14:textId="77777777" w:rsidR="00D6611B" w:rsidRDefault="0092034F" w:rsidP="00C765F2">
      <w:pPr>
        <w:spacing w:line="480" w:lineRule="auto"/>
        <w:ind w:firstLine="709"/>
        <w:jc w:val="both"/>
      </w:pPr>
      <w:r>
        <w:t xml:space="preserve">Dasar hukum utama tindak pidana penganiayaan dalam hukum pidana Indonesia terdapat dalam Pasal 466 Kitab </w:t>
      </w:r>
      <w:proofErr w:type="spellStart"/>
      <w:r>
        <w:t>Undang-Undang</w:t>
      </w:r>
      <w:proofErr w:type="spellEnd"/>
      <w:r>
        <w:t xml:space="preserve"> Hukum Pidana. Pasal ini mengatur penganiayaan sebagai perbuatan yang dapat dipidana, baik dalam bentuk penganiayaan biasa maupun apabila perbuatan tersebut menimbulkan luka berat atau kematian.</w:t>
      </w:r>
      <w:r>
        <w:rPr>
          <w:rStyle w:val="FootnoteReference"/>
        </w:rPr>
        <w:footnoteReference w:id="26"/>
      </w:r>
    </w:p>
    <w:p w14:paraId="3D94163B" w14:textId="77777777" w:rsidR="00D6611B" w:rsidRDefault="0092034F" w:rsidP="00C765F2">
      <w:pPr>
        <w:spacing w:line="480" w:lineRule="auto"/>
        <w:ind w:firstLine="709"/>
        <w:jc w:val="both"/>
      </w:pPr>
      <w:r>
        <w:t>Selain Pasal 466 KUHP, ketentuan mengenai penganiayaan juga berkaitan dengan pasal-pasal lain dalam KUHP yang mengatur bentuk-bentuk penganiayaan tertentu, seperti penganiayaan ringan, penganiayaan berencana, atau penganiayaan berat. Dengan demikian, Pasal 466 KUHP menjadi dasar umum, sedangkan pasal lain memberikan variasi pengaturan menurut berat ringannya perbuatan dan akibat yang ditimbulkan.</w:t>
      </w:r>
      <w:r>
        <w:rPr>
          <w:rStyle w:val="FootnoteReference"/>
        </w:rPr>
        <w:footnoteReference w:id="27"/>
      </w:r>
    </w:p>
    <w:p w14:paraId="7525B676" w14:textId="77777777" w:rsidR="00D6611B" w:rsidRDefault="0092034F" w:rsidP="00C765F2">
      <w:pPr>
        <w:spacing w:line="480" w:lineRule="auto"/>
        <w:ind w:firstLine="709"/>
        <w:jc w:val="both"/>
      </w:pPr>
      <w:r>
        <w:t xml:space="preserve">Dalam penegakan hukum, dasar hukum penganiayaan juga tidak dapat dipisahkan dari Kitab </w:t>
      </w:r>
      <w:proofErr w:type="spellStart"/>
      <w:r>
        <w:t>Undang-Undang</w:t>
      </w:r>
      <w:proofErr w:type="spellEnd"/>
      <w:r>
        <w:t xml:space="preserve"> Hukum Acara Pidana, karena pembuktian tindak pidana penganiayaan dilakukan melalui prosedur penyidikan, pemeriksaan saksi, pemeriksaan tersangka, dan pengumpulan alat bukti sebagaimana diatur dalam hukum acara pidana.</w:t>
      </w:r>
      <w:r>
        <w:rPr>
          <w:rStyle w:val="FootnoteReference"/>
        </w:rPr>
        <w:footnoteReference w:id="28"/>
      </w:r>
    </w:p>
    <w:p w14:paraId="42D5D5B0" w14:textId="77777777" w:rsidR="00D6611B" w:rsidRDefault="0092034F" w:rsidP="00C765F2">
      <w:pPr>
        <w:spacing w:line="480" w:lineRule="auto"/>
        <w:ind w:firstLine="709"/>
        <w:jc w:val="both"/>
      </w:pPr>
      <w:r>
        <w:t xml:space="preserve">Jika korban penganiayaan mengalami luka fisik, maka proses pembuktian juga sering berkaitan dengan alat bukti surat atau keterangan ahli dalam bentuk visum </w:t>
      </w:r>
      <w:proofErr w:type="spellStart"/>
      <w:r>
        <w:t>et</w:t>
      </w:r>
      <w:proofErr w:type="spellEnd"/>
      <w:r>
        <w:t xml:space="preserve"> </w:t>
      </w:r>
      <w:proofErr w:type="spellStart"/>
      <w:r>
        <w:t>repertum</w:t>
      </w:r>
      <w:proofErr w:type="spellEnd"/>
      <w:r>
        <w:t xml:space="preserve">. Hal ini menunjukkan bahwa dasar hukum tindak pidana </w:t>
      </w:r>
      <w:r>
        <w:lastRenderedPageBreak/>
        <w:t xml:space="preserve">penganiayaan tidak hanya berada pada hukum materiil, tetapi juga pada hukum </w:t>
      </w:r>
      <w:proofErr w:type="spellStart"/>
      <w:r>
        <w:t>formil</w:t>
      </w:r>
      <w:proofErr w:type="spellEnd"/>
      <w:r>
        <w:t xml:space="preserve"> yang mengatur tata cara pembuktian.</w:t>
      </w:r>
      <w:r>
        <w:rPr>
          <w:rStyle w:val="FootnoteReference"/>
        </w:rPr>
        <w:footnoteReference w:id="29"/>
      </w:r>
    </w:p>
    <w:p w14:paraId="20738E7E" w14:textId="77777777" w:rsidR="00D6611B" w:rsidRDefault="0092034F" w:rsidP="00C765F2">
      <w:pPr>
        <w:spacing w:line="480" w:lineRule="auto"/>
        <w:ind w:firstLine="709"/>
        <w:jc w:val="both"/>
      </w:pPr>
      <w:r>
        <w:t>Di samping itu, perlindungan terhadap korban perempuan juga memiliki dasar konstitusional karena setiap orang berhak atas perlindungan diri pribadi, kehormatan, martabat, dan rasa aman. Oleh sebab itu, penerapan Pasal 466 KUHP terhadap penganiayaan perempuan pada dasarnya sejalan dengan prinsip perlindungan hak asasi manusia dalam sistem hukum Indonesia.</w:t>
      </w:r>
      <w:r>
        <w:rPr>
          <w:rStyle w:val="FootnoteReference"/>
        </w:rPr>
        <w:footnoteReference w:id="30"/>
      </w:r>
    </w:p>
    <w:p w14:paraId="0C2E2B2E" w14:textId="77777777" w:rsidR="00D6611B" w:rsidRDefault="0092034F" w:rsidP="00C765F2">
      <w:pPr>
        <w:spacing w:line="480" w:lineRule="auto"/>
        <w:ind w:firstLine="709"/>
        <w:jc w:val="both"/>
      </w:pPr>
      <w:r>
        <w:t xml:space="preserve">Dengan demikian, dasar hukum tindak pidana penganiayaan dalam penelitian ini bertumpu pada Pasal 466 KUHP sebagai dasar hukum materiil, serta KUHAP sebagai dasar hukum </w:t>
      </w:r>
      <w:proofErr w:type="spellStart"/>
      <w:r>
        <w:t>formil</w:t>
      </w:r>
      <w:proofErr w:type="spellEnd"/>
      <w:r>
        <w:t xml:space="preserve"> dalam memproses dan membuktikan perkara penganiayaan terhadap perempuan.</w:t>
      </w:r>
    </w:p>
    <w:p w14:paraId="623B280D" w14:textId="77777777" w:rsidR="00D6611B" w:rsidRDefault="0092034F" w:rsidP="00C765F2">
      <w:pPr>
        <w:pStyle w:val="Heading3"/>
        <w:numPr>
          <w:ilvl w:val="0"/>
          <w:numId w:val="11"/>
        </w:numPr>
        <w:rPr>
          <w:b w:val="0"/>
          <w:bCs w:val="0"/>
        </w:rPr>
      </w:pPr>
      <w:bookmarkStart w:id="10" w:name="_Toc232115456"/>
      <w:proofErr w:type="spellStart"/>
      <w:r>
        <w:rPr>
          <w:b w:val="0"/>
          <w:bCs w:val="0"/>
        </w:rPr>
        <w:t>Unsur-Unsur</w:t>
      </w:r>
      <w:proofErr w:type="spellEnd"/>
      <w:r>
        <w:rPr>
          <w:b w:val="0"/>
          <w:bCs w:val="0"/>
        </w:rPr>
        <w:t xml:space="preserve"> Tindak Pidana Penganiayaan</w:t>
      </w:r>
      <w:bookmarkEnd w:id="10"/>
      <w:r>
        <w:rPr>
          <w:b w:val="0"/>
          <w:bCs w:val="0"/>
        </w:rPr>
        <w:t xml:space="preserve"> </w:t>
      </w:r>
    </w:p>
    <w:p w14:paraId="127C583C" w14:textId="77777777" w:rsidR="00D6611B" w:rsidRDefault="0092034F" w:rsidP="00C765F2">
      <w:pPr>
        <w:spacing w:line="480" w:lineRule="auto"/>
        <w:ind w:firstLine="709"/>
        <w:jc w:val="both"/>
      </w:pPr>
      <w:r>
        <w:t>Unsur pertama tindak pidana penganiayaan adalah adanya perbuatan menyerang tubuh orang lain. Perbuatan ini dapat berupa pukulan, tamparan, tendangan, atau tindakan fisik lain yang ditujukan pada tubuh korban dan menimbulkan rasa sakit atau luka.</w:t>
      </w:r>
      <w:r>
        <w:rPr>
          <w:rStyle w:val="FootnoteReference"/>
        </w:rPr>
        <w:footnoteReference w:id="31"/>
      </w:r>
    </w:p>
    <w:p w14:paraId="4751C3A6" w14:textId="77777777" w:rsidR="00D6611B" w:rsidRDefault="0092034F" w:rsidP="00C765F2">
      <w:pPr>
        <w:spacing w:line="480" w:lineRule="auto"/>
        <w:ind w:firstLine="709"/>
        <w:jc w:val="both"/>
      </w:pPr>
      <w:r>
        <w:t>Unsur kedua adalah adanya kesengajaan dari pelaku. Penganiayaan bukanlah peristiwa yang terjadi karena kebetulan, melainkan perbuatan yang dilakukan dengan kehendak untuk melakukan serangan fisik terhadap korban. Karena itu, unsur niat atau kesadaran pelaku menjadi penting untuk dibuktikan.</w:t>
      </w:r>
      <w:r>
        <w:rPr>
          <w:rStyle w:val="FootnoteReference"/>
        </w:rPr>
        <w:footnoteReference w:id="32"/>
      </w:r>
    </w:p>
    <w:p w14:paraId="26CB8695" w14:textId="77777777" w:rsidR="00D6611B" w:rsidRDefault="0092034F" w:rsidP="00C765F2">
      <w:pPr>
        <w:spacing w:line="480" w:lineRule="auto"/>
        <w:ind w:firstLine="709"/>
        <w:jc w:val="both"/>
      </w:pPr>
      <w:r>
        <w:lastRenderedPageBreak/>
        <w:t>Unsur ketiga adalah adanya akibat yang ditimbulkan, baik berupa rasa sakit, luka, maupun gangguan kesehatan. Akibat ini menunjukkan bahwa penganiayaan merupakan tindak pidana yang berkaitan langsung dengan kondisi fisik korban setelah perbuatan dilakukan.</w:t>
      </w:r>
      <w:r>
        <w:rPr>
          <w:rStyle w:val="FootnoteReference"/>
        </w:rPr>
        <w:footnoteReference w:id="33"/>
      </w:r>
    </w:p>
    <w:p w14:paraId="68F6BC59" w14:textId="77777777" w:rsidR="00D6611B" w:rsidRDefault="0092034F" w:rsidP="00C765F2">
      <w:pPr>
        <w:spacing w:line="480" w:lineRule="auto"/>
        <w:ind w:firstLine="709"/>
        <w:jc w:val="both"/>
      </w:pPr>
      <w:r>
        <w:t>Unsur keempat adalah sifat melawan hukum. Perbuatan menyerang tubuh orang lain harus dilakukan tanpa hak atau tanpa alasan pembenar yang sah menurut hukum. Dengan kata lain, serangan fisik yang dilakukan tidak dapat dibenarkan dalam sistem hukum pidana.</w:t>
      </w:r>
      <w:r>
        <w:rPr>
          <w:rStyle w:val="FootnoteReference"/>
        </w:rPr>
        <w:footnoteReference w:id="34"/>
      </w:r>
    </w:p>
    <w:p w14:paraId="5CA48157" w14:textId="77777777" w:rsidR="00D6611B" w:rsidRDefault="0092034F" w:rsidP="00C765F2">
      <w:pPr>
        <w:spacing w:line="480" w:lineRule="auto"/>
        <w:ind w:firstLine="709"/>
        <w:jc w:val="both"/>
      </w:pPr>
      <w:r>
        <w:t>Unsur kelima adalah adanya hubungan antara tindakan pelaku dan akibat yang dialami korban. Pembuktian unsur ini penting agar luka atau rasa sakit korban benar-benar dapat dipertanggungjawabkan kepada pelaku, bukan kepada sebab lain yang berada di luar perbuatan terdakwa.</w:t>
      </w:r>
      <w:r>
        <w:rPr>
          <w:rStyle w:val="FootnoteReference"/>
        </w:rPr>
        <w:footnoteReference w:id="35"/>
      </w:r>
    </w:p>
    <w:p w14:paraId="2E02CCBC" w14:textId="77777777" w:rsidR="00D6611B" w:rsidRDefault="0092034F" w:rsidP="00C765F2">
      <w:pPr>
        <w:spacing w:line="480" w:lineRule="auto"/>
        <w:ind w:firstLine="709"/>
        <w:jc w:val="both"/>
      </w:pPr>
      <w:r>
        <w:t>Dengan demikian, unsur-unsur tindak pidana penganiayaan dalam penelitian ini meliputi adanya perbuatan memukul korban perempuan, adanya kesengajaan pelaku, timbulnya luka atau rasa sakit pada korban, sifat melawan hukum dari tindakan tersebut, serta adanya hubungan sebab-akibat antara perbuatan pelaku dan penderitaan korban.</w:t>
      </w:r>
    </w:p>
    <w:p w14:paraId="3C7511E1" w14:textId="77777777" w:rsidR="00D6611B" w:rsidRDefault="0092034F" w:rsidP="00C765F2">
      <w:pPr>
        <w:pStyle w:val="Heading3"/>
        <w:numPr>
          <w:ilvl w:val="0"/>
          <w:numId w:val="11"/>
        </w:numPr>
        <w:rPr>
          <w:b w:val="0"/>
          <w:bCs w:val="0"/>
        </w:rPr>
      </w:pPr>
      <w:bookmarkStart w:id="11" w:name="_Toc232115457"/>
      <w:r>
        <w:rPr>
          <w:b w:val="0"/>
          <w:bCs w:val="0"/>
        </w:rPr>
        <w:t>Jenis-Jenis Penganiayaan dalam Hukum Pidana</w:t>
      </w:r>
      <w:bookmarkEnd w:id="11"/>
      <w:r>
        <w:rPr>
          <w:b w:val="0"/>
          <w:bCs w:val="0"/>
        </w:rPr>
        <w:t xml:space="preserve"> </w:t>
      </w:r>
    </w:p>
    <w:p w14:paraId="723BA673" w14:textId="77777777" w:rsidR="00D6611B" w:rsidRDefault="0092034F" w:rsidP="00C765F2">
      <w:pPr>
        <w:spacing w:line="480" w:lineRule="auto"/>
        <w:ind w:firstLine="709"/>
        <w:jc w:val="both"/>
      </w:pPr>
      <w:r>
        <w:t xml:space="preserve">Dalam hukum pidana Indonesia, penganiayaan dibedakan ke dalam beberapa jenis. Jenis pertama adalah penganiayaan biasa sebagaimana diatur dalam </w:t>
      </w:r>
      <w:r>
        <w:lastRenderedPageBreak/>
        <w:t>Pasal 466 KUHP, yaitu penganiayaan yang menimbulkan rasa sakit atau luka tanpa unsur perencanaan khusus.</w:t>
      </w:r>
      <w:r>
        <w:rPr>
          <w:rStyle w:val="FootnoteReference"/>
        </w:rPr>
        <w:footnoteReference w:id="36"/>
      </w:r>
    </w:p>
    <w:p w14:paraId="756D6F14" w14:textId="77777777" w:rsidR="00D6611B" w:rsidRDefault="0092034F" w:rsidP="00C765F2">
      <w:pPr>
        <w:spacing w:line="480" w:lineRule="auto"/>
        <w:ind w:firstLine="709"/>
        <w:jc w:val="both"/>
      </w:pPr>
      <w:r>
        <w:t>Jenis kedua adalah penganiayaan ringan, yaitu penganiayaan yang akibatnya relatif kecil dan tidak menimbulkan penyakit atau halangan untuk menjalankan pekerjaan. Meskipun tergolong ringan, perbuatan ini tetap dipandang sebagai tindak pidana karena tetap menyerang tubuh orang lain secara melawan hukum.</w:t>
      </w:r>
      <w:r>
        <w:rPr>
          <w:rStyle w:val="FootnoteReference"/>
        </w:rPr>
        <w:footnoteReference w:id="37"/>
      </w:r>
    </w:p>
    <w:p w14:paraId="024B424A" w14:textId="77777777" w:rsidR="00D6611B" w:rsidRDefault="0092034F" w:rsidP="00C765F2">
      <w:pPr>
        <w:spacing w:line="480" w:lineRule="auto"/>
        <w:ind w:firstLine="709"/>
        <w:jc w:val="both"/>
      </w:pPr>
      <w:r>
        <w:t>Jenis ketiga adalah penganiayaan berat, yaitu penganiayaan yang mengakibatkan luka berat pada korban. Dalam kategori ini, akibat yang ditimbulkan jauh lebih serius dan karena itu ancaman pidananya pun lebih berat dibanding penganiayaan biasa.</w:t>
      </w:r>
      <w:r>
        <w:rPr>
          <w:rStyle w:val="FootnoteReference"/>
        </w:rPr>
        <w:footnoteReference w:id="38"/>
      </w:r>
    </w:p>
    <w:p w14:paraId="1C3AB347" w14:textId="77777777" w:rsidR="00D6611B" w:rsidRDefault="0092034F" w:rsidP="00C765F2">
      <w:pPr>
        <w:spacing w:line="480" w:lineRule="auto"/>
        <w:ind w:firstLine="709"/>
        <w:jc w:val="both"/>
      </w:pPr>
      <w:r>
        <w:t>Jenis keempat adalah penganiayaan berencana. Dalam bentuk ini, perbuatan dilakukan dengan adanya niat dan persiapan lebih dahulu sebelum serangan dilaksanakan. Unsur perencanaan membuat perbuatan dipandang lebih berbahaya dan lebih tercela.</w:t>
      </w:r>
      <w:r>
        <w:rPr>
          <w:rStyle w:val="FootnoteReference"/>
        </w:rPr>
        <w:footnoteReference w:id="39"/>
      </w:r>
    </w:p>
    <w:p w14:paraId="12FC6C96" w14:textId="77777777" w:rsidR="00D6611B" w:rsidRDefault="0092034F" w:rsidP="00C765F2">
      <w:pPr>
        <w:spacing w:line="480" w:lineRule="auto"/>
        <w:ind w:firstLine="709"/>
        <w:jc w:val="both"/>
      </w:pPr>
      <w:r>
        <w:t>Selain itu, dikenal pula penganiayaan yang menyebabkan kematian. Dalam hal ini, akibat yang ditimbulkan jauh lebih berat karena serangan fisik pelaku berujung pada hilangnya nyawa korban, meskipun niat awal pelaku mungkin hanya untuk melakukan penganiayaan.</w:t>
      </w:r>
      <w:r>
        <w:rPr>
          <w:rStyle w:val="FootnoteReference"/>
        </w:rPr>
        <w:footnoteReference w:id="40"/>
      </w:r>
    </w:p>
    <w:p w14:paraId="78DE6D09" w14:textId="77777777" w:rsidR="00D6611B" w:rsidRDefault="0092034F" w:rsidP="00C765F2">
      <w:pPr>
        <w:spacing w:line="480" w:lineRule="auto"/>
        <w:ind w:firstLine="709"/>
        <w:jc w:val="both"/>
      </w:pPr>
      <w:r>
        <w:t xml:space="preserve">Dengan demikian, jenis penganiayaan yang paling relevan dalam penelitian ini adalah penganiayaan biasa berdasarkan Pasal 466 KUHP, karena fokus </w:t>
      </w:r>
      <w:r>
        <w:lastRenderedPageBreak/>
        <w:t>kajiannya terletak pada perbuatan pemukulan terhadap perempuan yang menimbulkan luka pada korban sebagaimana diungkap dalam BAP perkara di Polres Batu Bara.</w:t>
      </w:r>
    </w:p>
    <w:p w14:paraId="0809FB78" w14:textId="77777777" w:rsidR="00D6611B" w:rsidRPr="008C57A8" w:rsidRDefault="0092034F" w:rsidP="00C765F2">
      <w:pPr>
        <w:pStyle w:val="Heading2"/>
        <w:rPr>
          <w:b w:val="0"/>
          <w:bCs w:val="0"/>
        </w:rPr>
      </w:pPr>
      <w:bookmarkStart w:id="12" w:name="_Toc232115458"/>
      <w:r w:rsidRPr="008C57A8">
        <w:rPr>
          <w:rStyle w:val="Strong"/>
          <w:b/>
          <w:bCs/>
        </w:rPr>
        <w:t xml:space="preserve">C. </w:t>
      </w:r>
      <w:r w:rsidRPr="008C57A8">
        <w:rPr>
          <w:rStyle w:val="Strong"/>
          <w:b/>
          <w:bCs/>
        </w:rPr>
        <w:tab/>
      </w:r>
      <w:proofErr w:type="spellStart"/>
      <w:r w:rsidRPr="008C57A8">
        <w:rPr>
          <w:rStyle w:val="Strong"/>
          <w:b/>
          <w:bCs/>
        </w:rPr>
        <w:t>Penganiayaan</w:t>
      </w:r>
      <w:proofErr w:type="spellEnd"/>
      <w:r w:rsidRPr="008C57A8">
        <w:rPr>
          <w:rStyle w:val="Strong"/>
          <w:b/>
          <w:bCs/>
        </w:rPr>
        <w:t xml:space="preserve"> </w:t>
      </w:r>
      <w:proofErr w:type="spellStart"/>
      <w:r w:rsidRPr="008C57A8">
        <w:rPr>
          <w:rStyle w:val="Strong"/>
          <w:b/>
          <w:bCs/>
        </w:rPr>
        <w:t>Terhadap</w:t>
      </w:r>
      <w:proofErr w:type="spellEnd"/>
      <w:r w:rsidRPr="008C57A8">
        <w:rPr>
          <w:rStyle w:val="Strong"/>
          <w:b/>
          <w:bCs/>
        </w:rPr>
        <w:t xml:space="preserve"> Perempuan</w:t>
      </w:r>
      <w:bookmarkEnd w:id="12"/>
    </w:p>
    <w:p w14:paraId="0200CE30" w14:textId="77777777" w:rsidR="00D6611B" w:rsidRDefault="0092034F" w:rsidP="00C765F2">
      <w:pPr>
        <w:pStyle w:val="Heading3"/>
        <w:numPr>
          <w:ilvl w:val="0"/>
          <w:numId w:val="4"/>
        </w:numPr>
        <w:rPr>
          <w:b w:val="0"/>
          <w:bCs w:val="0"/>
        </w:rPr>
      </w:pPr>
      <w:bookmarkStart w:id="13" w:name="_Toc232115459"/>
      <w:r>
        <w:rPr>
          <w:b w:val="0"/>
          <w:bCs w:val="0"/>
        </w:rPr>
        <w:t>Pengertian Penganiayaan terhadap Perempuan</w:t>
      </w:r>
      <w:bookmarkEnd w:id="13"/>
      <w:r>
        <w:rPr>
          <w:b w:val="0"/>
          <w:bCs w:val="0"/>
        </w:rPr>
        <w:t xml:space="preserve"> </w:t>
      </w:r>
    </w:p>
    <w:p w14:paraId="73F2C5A0" w14:textId="77777777" w:rsidR="00D6611B" w:rsidRDefault="0092034F" w:rsidP="00C765F2">
      <w:pPr>
        <w:spacing w:line="480" w:lineRule="auto"/>
        <w:ind w:firstLine="709"/>
        <w:jc w:val="both"/>
      </w:pPr>
      <w:r>
        <w:t>Penganiayaan terhadap perempuan adalah perbuatan menyerang tubuh perempuan secara melawan hukum sehingga menimbulkan rasa sakit, luka, atau gangguan kesehatan. Pengertian ini pada dasarnya merupakan bagian dari tindak pidana penganiayaan secara umum, tetapi diberi perhatian khusus karena korban berada pada posisi yang rentan secara sosial maupun psikologis.</w:t>
      </w:r>
      <w:r>
        <w:rPr>
          <w:rStyle w:val="FootnoteReference"/>
        </w:rPr>
        <w:footnoteReference w:id="41"/>
      </w:r>
    </w:p>
    <w:p w14:paraId="43948230" w14:textId="77777777" w:rsidR="00D6611B" w:rsidRDefault="0092034F" w:rsidP="00C765F2">
      <w:pPr>
        <w:spacing w:line="480" w:lineRule="auto"/>
        <w:ind w:firstLine="709"/>
        <w:jc w:val="both"/>
      </w:pPr>
      <w:r>
        <w:t>Perempuan sebagai korban penganiayaan tidak hanya menderita akibat fisik, tetapi juga dapat mengalami trauma, rasa takut, dan tekanan mental yang lebih mendalam. Oleh sebab itu, penganiayaan terhadap perempuan harus dilihat secara lebih luas, bukan hanya sebagai pelanggaran terhadap tubuh, tetapi juga sebagai serangan terhadap martabat dan rasa aman korban.</w:t>
      </w:r>
      <w:r>
        <w:rPr>
          <w:rStyle w:val="FootnoteReference"/>
        </w:rPr>
        <w:footnoteReference w:id="42"/>
      </w:r>
    </w:p>
    <w:p w14:paraId="33534DF8" w14:textId="77777777" w:rsidR="00D6611B" w:rsidRDefault="0092034F" w:rsidP="00C765F2">
      <w:pPr>
        <w:spacing w:line="480" w:lineRule="auto"/>
        <w:ind w:firstLine="709"/>
        <w:jc w:val="both"/>
      </w:pPr>
      <w:r>
        <w:t>Dalam perspektif hukum, perempuan mempunyai kedudukan yang sama di hadapan hukum dan berhak memperoleh perlindungan yang setara dari negara. Karena itu, setiap tindakan kekerasan terhadap perempuan, termasuk penganiayaan, harus diproses dengan serius dan tidak boleh dianggap sebagai persoalan pribadi semata.</w:t>
      </w:r>
      <w:r>
        <w:rPr>
          <w:rStyle w:val="FootnoteReference"/>
        </w:rPr>
        <w:footnoteReference w:id="43"/>
      </w:r>
    </w:p>
    <w:p w14:paraId="1DE2F777" w14:textId="77777777" w:rsidR="00D6611B" w:rsidRDefault="0092034F" w:rsidP="00C765F2">
      <w:pPr>
        <w:spacing w:line="480" w:lineRule="auto"/>
        <w:ind w:firstLine="709"/>
        <w:jc w:val="both"/>
      </w:pPr>
      <w:r>
        <w:lastRenderedPageBreak/>
        <w:t>Penganiayaan terhadap perempuan sering terjadi dalam hubungan yang dekat, baik dalam lingkungan keluarga, pergaulan, maupun masyarakat sekitar. Kedekatan hubungan dengan pelaku sering kali membuat korban berada dalam posisi sulit untuk melawan, melapor, atau mempertahankan dirinya secara bebas.</w:t>
      </w:r>
      <w:r>
        <w:rPr>
          <w:rStyle w:val="FootnoteReference"/>
        </w:rPr>
        <w:footnoteReference w:id="44"/>
      </w:r>
    </w:p>
    <w:p w14:paraId="273C57F0" w14:textId="77777777" w:rsidR="00D6611B" w:rsidRDefault="0092034F" w:rsidP="00C765F2">
      <w:pPr>
        <w:spacing w:line="480" w:lineRule="auto"/>
        <w:ind w:firstLine="709"/>
        <w:jc w:val="both"/>
      </w:pPr>
      <w:r>
        <w:t>Keadaan tersebut menunjukkan bahwa penganiayaan terhadap perempuan mempunyai dimensi hukum dan sosial sekaligus. Hukum pidana diperlukan untuk menilai perbuatan pelaku, sedangkan perspektif perlindungan korban diperlukan agar proses penegakan hukum tidak mengabaikan kondisi nyata yang dihadapi perempuan sebagai korban kekerasan.</w:t>
      </w:r>
      <w:r>
        <w:rPr>
          <w:rStyle w:val="FootnoteReference"/>
        </w:rPr>
        <w:footnoteReference w:id="45"/>
      </w:r>
    </w:p>
    <w:p w14:paraId="51066582" w14:textId="77777777" w:rsidR="00D6611B" w:rsidRDefault="0092034F" w:rsidP="00C765F2">
      <w:pPr>
        <w:spacing w:line="480" w:lineRule="auto"/>
        <w:ind w:firstLine="709"/>
        <w:jc w:val="both"/>
      </w:pPr>
      <w:r>
        <w:t>Dengan demikian, penganiayaan terhadap perempuan dalam penelitian ini dipahami sebagai tindakan pemukulan atau kekerasan fisik terhadap perempuan yang menimbulkan luka pada korban, dan oleh karena itu harus dianalisis secara yuridis berdasarkan Pasal 466 KUHP.</w:t>
      </w:r>
    </w:p>
    <w:p w14:paraId="7D710576" w14:textId="77777777" w:rsidR="00D6611B" w:rsidRDefault="0092034F" w:rsidP="00C765F2">
      <w:pPr>
        <w:pStyle w:val="Heading3"/>
        <w:numPr>
          <w:ilvl w:val="0"/>
          <w:numId w:val="4"/>
        </w:numPr>
        <w:rPr>
          <w:b w:val="0"/>
          <w:bCs w:val="0"/>
        </w:rPr>
      </w:pPr>
      <w:bookmarkStart w:id="14" w:name="_Toc232115460"/>
      <w:proofErr w:type="spellStart"/>
      <w:r>
        <w:rPr>
          <w:b w:val="0"/>
          <w:bCs w:val="0"/>
        </w:rPr>
        <w:t>Bentuk-Bentuk</w:t>
      </w:r>
      <w:proofErr w:type="spellEnd"/>
      <w:r>
        <w:rPr>
          <w:b w:val="0"/>
          <w:bCs w:val="0"/>
        </w:rPr>
        <w:t xml:space="preserve"> Penganiayaan terhadap Perempuan</w:t>
      </w:r>
      <w:bookmarkEnd w:id="14"/>
      <w:r>
        <w:rPr>
          <w:b w:val="0"/>
          <w:bCs w:val="0"/>
        </w:rPr>
        <w:t xml:space="preserve"> </w:t>
      </w:r>
    </w:p>
    <w:p w14:paraId="73EB8CE1" w14:textId="77777777" w:rsidR="00D6611B" w:rsidRDefault="0092034F" w:rsidP="00C765F2">
      <w:pPr>
        <w:spacing w:line="480" w:lineRule="auto"/>
        <w:ind w:firstLine="709"/>
        <w:jc w:val="both"/>
      </w:pPr>
      <w:r>
        <w:t>Bentuk penganiayaan terhadap perempuan dapat berupa pemukulan, penamparan, penendangan, penjambakan, maupun tindakan fisik lain yang menimbulkan rasa sakit atau luka. Bentuk-bentuk ini sering kali terjadi dalam situasi konflik yang melibatkan emosi pelaku terhadap korban.</w:t>
      </w:r>
      <w:r>
        <w:rPr>
          <w:rStyle w:val="FootnoteReference"/>
        </w:rPr>
        <w:footnoteReference w:id="46"/>
      </w:r>
    </w:p>
    <w:p w14:paraId="2E888E3F" w14:textId="77777777" w:rsidR="00D6611B" w:rsidRDefault="0092034F" w:rsidP="00C765F2">
      <w:pPr>
        <w:spacing w:line="480" w:lineRule="auto"/>
        <w:ind w:firstLine="709"/>
        <w:jc w:val="both"/>
      </w:pPr>
      <w:r>
        <w:t xml:space="preserve">Selain serangan langsung pada tubuh, penganiayaan terhadap perempuan juga dapat berbentuk tindakan yang secara fisik tampak sederhana tetapi menimbulkan akibat nyata, seperti menarik dengan kasar, mendorong, atau </w:t>
      </w:r>
      <w:r>
        <w:lastRenderedPageBreak/>
        <w:t>melempar benda ke arah korban. Dalam hukum pidana, fokus utamanya tetap pada akibat yang timbul pada tubuh korban.</w:t>
      </w:r>
      <w:r>
        <w:rPr>
          <w:rStyle w:val="FootnoteReference"/>
        </w:rPr>
        <w:footnoteReference w:id="47"/>
      </w:r>
    </w:p>
    <w:p w14:paraId="47C5E020" w14:textId="77777777" w:rsidR="00D6611B" w:rsidRDefault="0092034F" w:rsidP="00C765F2">
      <w:pPr>
        <w:spacing w:line="480" w:lineRule="auto"/>
        <w:ind w:firstLine="709"/>
        <w:jc w:val="both"/>
      </w:pPr>
      <w:r>
        <w:t>Dalam banyak perkara, bentuk penganiayaan terhadap perempuan dilakukan menggunakan tangan kosong, tanpa alat khusus. Meskipun demikian, penggunaan tangan kosong tidak mengurangi sifat pidana perbuatan tersebut, selama tindakan itu menimbulkan rasa sakit, luka, atau gangguan kesehatan.</w:t>
      </w:r>
      <w:r>
        <w:rPr>
          <w:rStyle w:val="FootnoteReference"/>
        </w:rPr>
        <w:footnoteReference w:id="48"/>
      </w:r>
    </w:p>
    <w:p w14:paraId="0D341248" w14:textId="77777777" w:rsidR="00D6611B" w:rsidRDefault="0092034F" w:rsidP="00C765F2">
      <w:pPr>
        <w:spacing w:line="480" w:lineRule="auto"/>
        <w:ind w:firstLine="709"/>
        <w:jc w:val="both"/>
      </w:pPr>
      <w:r>
        <w:t>Penganiayaan terhadap perempuan juga dapat terjadi di ruang domestik maupun di ruang publik. Karena itu, hukum pidana tidak membedakan apakah perbuatan itu terjadi di rumah, di jalan, atau di lingkungan sosial lainnya, sepanjang unsur-unsur deliknya terpenuhi.</w:t>
      </w:r>
      <w:r>
        <w:rPr>
          <w:rStyle w:val="FootnoteReference"/>
        </w:rPr>
        <w:footnoteReference w:id="49"/>
      </w:r>
    </w:p>
    <w:p w14:paraId="21AE01CA" w14:textId="77777777" w:rsidR="00D6611B" w:rsidRDefault="0092034F" w:rsidP="00C765F2">
      <w:pPr>
        <w:spacing w:line="480" w:lineRule="auto"/>
        <w:ind w:firstLine="709"/>
        <w:jc w:val="both"/>
      </w:pPr>
      <w:r>
        <w:t>Dalam perkara tertentu, bentuk penganiayaan terhadap perempuan dapat terlihat sederhana dari sudut tindakan, misalnya hanya satu kali pukulan. Namun, hukum pidana tetap memandang serius perbuatan tersebut apabila akibatnya nyata dan memenuhi unsur delik penganiayaan.</w:t>
      </w:r>
      <w:r>
        <w:rPr>
          <w:rStyle w:val="FootnoteReference"/>
        </w:rPr>
        <w:footnoteReference w:id="50"/>
      </w:r>
    </w:p>
    <w:p w14:paraId="2B876D9D" w14:textId="77777777" w:rsidR="00D6611B" w:rsidRDefault="0092034F" w:rsidP="00C765F2">
      <w:pPr>
        <w:spacing w:line="480" w:lineRule="auto"/>
        <w:ind w:firstLine="709"/>
        <w:jc w:val="both"/>
      </w:pPr>
      <w:r>
        <w:t>Dengan demikian, bentuk penganiayaan terhadap perempuan dalam penelitian ini terutama berupa pemukulan satu kali pada bagian pelipis korban perempuan, yang menimbulkan luka robek dan terganggunya aktivitas korban, sebagaimana tergambar dalam berkas perkara di Polres Batu Bara.</w:t>
      </w:r>
    </w:p>
    <w:p w14:paraId="0584E19A" w14:textId="77777777" w:rsidR="00D6611B" w:rsidRPr="00D96E8D" w:rsidRDefault="00D6611B" w:rsidP="00C765F2">
      <w:pPr>
        <w:spacing w:line="480" w:lineRule="auto"/>
      </w:pPr>
    </w:p>
    <w:p w14:paraId="55CF81F3" w14:textId="77777777" w:rsidR="00D6611B" w:rsidRDefault="0092034F" w:rsidP="00C765F2">
      <w:pPr>
        <w:pStyle w:val="Heading3"/>
        <w:numPr>
          <w:ilvl w:val="0"/>
          <w:numId w:val="4"/>
        </w:numPr>
        <w:rPr>
          <w:b w:val="0"/>
          <w:bCs w:val="0"/>
        </w:rPr>
      </w:pPr>
      <w:bookmarkStart w:id="15" w:name="_Toc232115461"/>
      <w:proofErr w:type="spellStart"/>
      <w:r>
        <w:rPr>
          <w:b w:val="0"/>
          <w:bCs w:val="0"/>
        </w:rPr>
        <w:lastRenderedPageBreak/>
        <w:t>Faktor-Faktor</w:t>
      </w:r>
      <w:proofErr w:type="spellEnd"/>
      <w:r>
        <w:rPr>
          <w:b w:val="0"/>
          <w:bCs w:val="0"/>
        </w:rPr>
        <w:t xml:space="preserve"> Penyebab Penganiayaan terhadap Perempuan</w:t>
      </w:r>
      <w:bookmarkEnd w:id="15"/>
      <w:r>
        <w:rPr>
          <w:b w:val="0"/>
          <w:bCs w:val="0"/>
        </w:rPr>
        <w:t xml:space="preserve"> </w:t>
      </w:r>
    </w:p>
    <w:p w14:paraId="14B9192D" w14:textId="77777777" w:rsidR="00D6611B" w:rsidRDefault="0092034F" w:rsidP="00C765F2">
      <w:pPr>
        <w:spacing w:line="480" w:lineRule="auto"/>
        <w:ind w:firstLine="709"/>
        <w:jc w:val="both"/>
      </w:pPr>
      <w:r>
        <w:t xml:space="preserve">Salah satu faktor penyebab penganiayaan terhadap perempuan adalah faktor emosi pelaku yang tidak terkendali. Dalam banyak kasus, tindak penganiayaan terjadi ketika pelaku merasa tersinggung, marah, atau </w:t>
      </w:r>
      <w:proofErr w:type="spellStart"/>
      <w:r>
        <w:t>tersulut</w:t>
      </w:r>
      <w:proofErr w:type="spellEnd"/>
      <w:r>
        <w:t xml:space="preserve"> oleh konflik tertentu, lalu melampiaskannya melalui kekerasan fisik.</w:t>
      </w:r>
      <w:r>
        <w:rPr>
          <w:rStyle w:val="FootnoteReference"/>
        </w:rPr>
        <w:footnoteReference w:id="51"/>
      </w:r>
    </w:p>
    <w:p w14:paraId="1C079B48" w14:textId="77777777" w:rsidR="00D6611B" w:rsidRDefault="0092034F" w:rsidP="00C765F2">
      <w:pPr>
        <w:spacing w:line="480" w:lineRule="auto"/>
        <w:ind w:firstLine="709"/>
        <w:jc w:val="both"/>
      </w:pPr>
      <w:r>
        <w:t>Faktor berikutnya adalah relasi sosial yang tidak seimbang. Perempuan sering berada dalam posisi yang lebih lemah secara fisik maupun sosial dibanding pelaku, sehingga menjadi sasaran kekerasan ketika terjadi pertengkaran atau perselisihan.</w:t>
      </w:r>
      <w:r>
        <w:rPr>
          <w:rStyle w:val="FootnoteReference"/>
        </w:rPr>
        <w:footnoteReference w:id="52"/>
      </w:r>
    </w:p>
    <w:p w14:paraId="6ADCDB04" w14:textId="77777777" w:rsidR="00D6611B" w:rsidRDefault="0092034F" w:rsidP="00C765F2">
      <w:pPr>
        <w:spacing w:line="480" w:lineRule="auto"/>
        <w:ind w:firstLine="709"/>
        <w:jc w:val="both"/>
      </w:pPr>
      <w:r>
        <w:t>Lingkungan sosial juga dapat memengaruhi terjadinya penganiayaan terhadap perempuan. Apabila kekerasan dianggap sebagai hal biasa atau konflik tidak diselesaikan secara dewasa, maka kemungkinan terjadinya tindakan penganiayaan menjadi lebih besar.</w:t>
      </w:r>
      <w:r>
        <w:rPr>
          <w:rStyle w:val="FootnoteReference"/>
        </w:rPr>
        <w:footnoteReference w:id="53"/>
      </w:r>
    </w:p>
    <w:p w14:paraId="35CB1BB2" w14:textId="77777777" w:rsidR="00D6611B" w:rsidRDefault="0092034F" w:rsidP="00C765F2">
      <w:pPr>
        <w:spacing w:line="480" w:lineRule="auto"/>
        <w:ind w:firstLine="709"/>
        <w:jc w:val="both"/>
      </w:pPr>
      <w:r>
        <w:t xml:space="preserve">Selain itu, adanya konflik personal yang telah berlangsung sebelumnya juga bisa menjadi penyebab. Ketegangan, dendam, atau </w:t>
      </w:r>
      <w:proofErr w:type="spellStart"/>
      <w:r>
        <w:t>ketersinggungan</w:t>
      </w:r>
      <w:proofErr w:type="spellEnd"/>
      <w:r>
        <w:t xml:space="preserve"> yang tidak diselesaikan dengan baik sering berkembang menjadi tindakan penyerangan fisik terhadap korban perempuan.</w:t>
      </w:r>
      <w:r>
        <w:rPr>
          <w:rStyle w:val="FootnoteReference"/>
        </w:rPr>
        <w:footnoteReference w:id="54"/>
      </w:r>
    </w:p>
    <w:p w14:paraId="4BF23D3A" w14:textId="77777777" w:rsidR="00D6611B" w:rsidRDefault="0092034F" w:rsidP="00C765F2">
      <w:pPr>
        <w:spacing w:line="480" w:lineRule="auto"/>
        <w:ind w:firstLine="709"/>
        <w:jc w:val="both"/>
      </w:pPr>
      <w:r>
        <w:t xml:space="preserve">Faktor lain yang juga penting adalah lemahnya kontrol diri pelaku. Seseorang yang tidak mampu mengendalikan dorongan emosinya lebih mudah </w:t>
      </w:r>
      <w:r>
        <w:lastRenderedPageBreak/>
        <w:t>melakukan tindakan agresif tanpa mempertimbangkan akibat hukum maupun penderitaan yang akan dialami korban.</w:t>
      </w:r>
      <w:r>
        <w:rPr>
          <w:rStyle w:val="FootnoteReference"/>
        </w:rPr>
        <w:footnoteReference w:id="55"/>
      </w:r>
    </w:p>
    <w:p w14:paraId="2723B170" w14:textId="77777777" w:rsidR="00D6611B" w:rsidRDefault="0092034F" w:rsidP="00C765F2">
      <w:pPr>
        <w:spacing w:line="480" w:lineRule="auto"/>
        <w:ind w:firstLine="709"/>
        <w:jc w:val="both"/>
      </w:pPr>
      <w:r>
        <w:t>Dengan demikian, faktor-faktor penyebab penganiayaan terhadap perempuan dalam penelitian ini dapat dipahami sebagai gabungan antara emosi pelaku, konflik personal, posisi rentan korban, pengaruh lingkungan, dan lemahnya pengendalian diri, yang akhirnya mendorong terjadinya pemukulan terhadap korban perempuan.</w:t>
      </w:r>
    </w:p>
    <w:p w14:paraId="1F5AE796" w14:textId="77777777" w:rsidR="00D6611B" w:rsidRDefault="0092034F" w:rsidP="00C765F2">
      <w:pPr>
        <w:pStyle w:val="Heading3"/>
        <w:numPr>
          <w:ilvl w:val="0"/>
          <w:numId w:val="4"/>
        </w:numPr>
        <w:rPr>
          <w:b w:val="0"/>
          <w:bCs w:val="0"/>
        </w:rPr>
      </w:pPr>
      <w:bookmarkStart w:id="16" w:name="_Toc232115462"/>
      <w:r>
        <w:rPr>
          <w:b w:val="0"/>
          <w:bCs w:val="0"/>
        </w:rPr>
        <w:t>Perlindungan Hukum terhadap Perempuan Korban Penganiayaan</w:t>
      </w:r>
      <w:bookmarkEnd w:id="16"/>
      <w:r>
        <w:rPr>
          <w:b w:val="0"/>
          <w:bCs w:val="0"/>
        </w:rPr>
        <w:t xml:space="preserve"> </w:t>
      </w:r>
    </w:p>
    <w:p w14:paraId="7D732D6C" w14:textId="77777777" w:rsidR="00D6611B" w:rsidRDefault="0092034F" w:rsidP="00C765F2">
      <w:pPr>
        <w:spacing w:line="480" w:lineRule="auto"/>
        <w:ind w:firstLine="709"/>
        <w:jc w:val="both"/>
      </w:pPr>
      <w:r>
        <w:t>Perlindungan hukum terhadap perempuan korban penganiayaan merupakan bagian penting dari tujuan hukum pidana. Perlindungan itu tidak hanya berarti menghukum pelaku, tetapi juga memastikan bahwa korban memperoleh rasa aman, kepastian hukum, dan pengakuan atas penderitaan yang dialaminya.</w:t>
      </w:r>
      <w:r>
        <w:rPr>
          <w:rStyle w:val="FootnoteReference"/>
        </w:rPr>
        <w:footnoteReference w:id="56"/>
      </w:r>
    </w:p>
    <w:p w14:paraId="46A27076" w14:textId="77777777" w:rsidR="00D6611B" w:rsidRDefault="0092034F" w:rsidP="00C765F2">
      <w:pPr>
        <w:spacing w:line="480" w:lineRule="auto"/>
        <w:ind w:firstLine="709"/>
        <w:jc w:val="both"/>
      </w:pPr>
      <w:r>
        <w:t>Dalam proses hukum pidana, perlindungan terhadap korban perempuan dimulai sejak tahap pelaporan, pemeriksaan, hingga penyelesaian perkara. Korban harus diperlakukan secara manusiawi dan diberi kesempatan untuk memberikan keterangan tanpa tekanan atau rasa takut.</w:t>
      </w:r>
      <w:r>
        <w:rPr>
          <w:rStyle w:val="FootnoteReference"/>
        </w:rPr>
        <w:footnoteReference w:id="57"/>
      </w:r>
    </w:p>
    <w:p w14:paraId="60C12BD1" w14:textId="77777777" w:rsidR="00D6611B" w:rsidRDefault="0092034F" w:rsidP="00C765F2">
      <w:pPr>
        <w:spacing w:line="480" w:lineRule="auto"/>
        <w:ind w:firstLine="709"/>
        <w:jc w:val="both"/>
      </w:pPr>
      <w:r>
        <w:t>Perlindungan hukum juga berkaitan dengan pembuktian yang adil. Dalam perkara penganiayaan terhadap perempuan, keterangan korban sering menjadi penting, tetapi harus didukung pula dengan alat bukti lain seperti keterangan saksi, visum, atau pengakuan pelaku agar proses penegakan hukum berjalan objektif.</w:t>
      </w:r>
      <w:r>
        <w:rPr>
          <w:rStyle w:val="FootnoteReference"/>
        </w:rPr>
        <w:footnoteReference w:id="58"/>
      </w:r>
    </w:p>
    <w:p w14:paraId="6DBADFAB" w14:textId="77777777" w:rsidR="00D6611B" w:rsidRDefault="0092034F" w:rsidP="00C765F2">
      <w:pPr>
        <w:spacing w:line="480" w:lineRule="auto"/>
        <w:ind w:firstLine="709"/>
        <w:jc w:val="both"/>
      </w:pPr>
      <w:r>
        <w:lastRenderedPageBreak/>
        <w:t>Selain itu, perlindungan terhadap korban perempuan menyangkut hak korban untuk memperoleh penanganan yang tidak diskriminatif. Aparat penegak hukum harus menempatkan korban sebagai subjek yang dilindungi, bukan sebagai pihak yang dipersalahkan atas kekerasan yang dialaminya.</w:t>
      </w:r>
      <w:r>
        <w:rPr>
          <w:rStyle w:val="FootnoteReference"/>
        </w:rPr>
        <w:footnoteReference w:id="59"/>
      </w:r>
    </w:p>
    <w:p w14:paraId="35238ECB" w14:textId="77777777" w:rsidR="00D6611B" w:rsidRDefault="0092034F" w:rsidP="00C765F2">
      <w:pPr>
        <w:spacing w:line="480" w:lineRule="auto"/>
        <w:ind w:firstLine="709"/>
        <w:jc w:val="both"/>
      </w:pPr>
      <w:r>
        <w:t>Dari sudut yang lebih luas, perlindungan hukum terhadap perempuan korban penganiayaan juga bertujuan memberikan efek jera kepada pelaku dan menegaskan bahwa kekerasan terhadap perempuan tidak dapat ditoleransi. Dengan demikian, hukum pidana berfungsi sekaligus sebagai perlindungan individu dan sarana pencegahan umum.</w:t>
      </w:r>
      <w:r>
        <w:rPr>
          <w:rStyle w:val="FootnoteReference"/>
        </w:rPr>
        <w:footnoteReference w:id="60"/>
      </w:r>
    </w:p>
    <w:p w14:paraId="50F699DF" w14:textId="3726A1DE" w:rsidR="00D6611B" w:rsidRPr="00D96E8D" w:rsidRDefault="0092034F" w:rsidP="008C57A8">
      <w:pPr>
        <w:spacing w:line="480" w:lineRule="auto"/>
        <w:ind w:firstLine="709"/>
        <w:jc w:val="both"/>
      </w:pPr>
      <w:r>
        <w:t>Dengan demikian, perlindungan hukum terhadap perempuan korban penganiayaan dalam penelitian ini dipahami sebagai upaya negara melalui aparat penegak hukum untuk menegakkan Pasal 466 KUHP secara tepat, membuktikan kesalahan pelaku, dan memberikan keadilan bagi korban perempuan yang mengalami luka akibat penganiayaan.</w:t>
      </w:r>
    </w:p>
    <w:p w14:paraId="1F79D68E" w14:textId="77777777" w:rsidR="00D6611B" w:rsidRPr="008C57A8" w:rsidRDefault="0092034F" w:rsidP="00C765F2">
      <w:pPr>
        <w:pStyle w:val="Heading2"/>
        <w:rPr>
          <w:b w:val="0"/>
          <w:bCs w:val="0"/>
        </w:rPr>
      </w:pPr>
      <w:bookmarkStart w:id="17" w:name="_Toc232115463"/>
      <w:r w:rsidRPr="008C57A8">
        <w:rPr>
          <w:rStyle w:val="Strong"/>
          <w:b/>
          <w:bCs/>
        </w:rPr>
        <w:t xml:space="preserve">D. </w:t>
      </w:r>
      <w:r w:rsidRPr="008C57A8">
        <w:rPr>
          <w:rStyle w:val="Strong"/>
          <w:b/>
          <w:bCs/>
        </w:rPr>
        <w:tab/>
      </w:r>
      <w:proofErr w:type="spellStart"/>
      <w:r w:rsidRPr="008C57A8">
        <w:rPr>
          <w:rStyle w:val="Strong"/>
          <w:b/>
          <w:bCs/>
        </w:rPr>
        <w:t>Penyidikan</w:t>
      </w:r>
      <w:bookmarkEnd w:id="17"/>
      <w:proofErr w:type="spellEnd"/>
    </w:p>
    <w:p w14:paraId="2028D78F" w14:textId="77777777" w:rsidR="00D6611B" w:rsidRDefault="0092034F" w:rsidP="00C765F2">
      <w:pPr>
        <w:pStyle w:val="Heading3"/>
        <w:numPr>
          <w:ilvl w:val="0"/>
          <w:numId w:val="3"/>
        </w:numPr>
        <w:rPr>
          <w:b w:val="0"/>
          <w:bCs w:val="0"/>
        </w:rPr>
      </w:pPr>
      <w:bookmarkStart w:id="18" w:name="_Toc232115464"/>
      <w:r>
        <w:rPr>
          <w:b w:val="0"/>
          <w:bCs w:val="0"/>
        </w:rPr>
        <w:t>Pengertian Penyidikan</w:t>
      </w:r>
      <w:bookmarkEnd w:id="18"/>
      <w:r>
        <w:rPr>
          <w:b w:val="0"/>
          <w:bCs w:val="0"/>
        </w:rPr>
        <w:t xml:space="preserve"> </w:t>
      </w:r>
    </w:p>
    <w:p w14:paraId="59E257D9" w14:textId="77777777" w:rsidR="00D6611B" w:rsidRDefault="0092034F" w:rsidP="00C765F2">
      <w:pPr>
        <w:spacing w:line="480" w:lineRule="auto"/>
        <w:ind w:firstLine="709"/>
        <w:jc w:val="both"/>
      </w:pPr>
      <w:r>
        <w:t>Penyidikan adalah serangkaian tindakan penyidik dalam hal dan menurut cara yang diatur oleh undang-undang untuk mencari serta mengumpulkan bukti yang dengan bukti itu membuat terang tindak pidana yang terjadi dan menemukan tersangkanya. Penyidikan merupakan tahap penting dalam proses peradilan pidana karena menjadi dasar bagi penuntutan perkara ke pengadilan.</w:t>
      </w:r>
      <w:r>
        <w:rPr>
          <w:rStyle w:val="FootnoteReference"/>
        </w:rPr>
        <w:footnoteReference w:id="61"/>
      </w:r>
    </w:p>
    <w:p w14:paraId="5B5103EF" w14:textId="77777777" w:rsidR="00D6611B" w:rsidRDefault="0092034F" w:rsidP="00C765F2">
      <w:pPr>
        <w:spacing w:line="480" w:lineRule="auto"/>
        <w:ind w:firstLine="709"/>
        <w:jc w:val="both"/>
      </w:pPr>
      <w:r>
        <w:lastRenderedPageBreak/>
        <w:t>Dalam hukum acara pidana, penyidikan berfungsi memastikan bahwa suatu peristiwa benar-benar merupakan tindak pidana dan bahwa orang yang diduga sebagai pelaku memang mempunyai keterkaitan hukum dengan peristiwa tersebut. Karena itu, penyidikan tidak sekadar mengumpulkan keterangan, tetapi membangun konstruksi hukum atas suatu peristiwa pidana.</w:t>
      </w:r>
      <w:r>
        <w:rPr>
          <w:rStyle w:val="FootnoteReference"/>
        </w:rPr>
        <w:footnoteReference w:id="62"/>
      </w:r>
    </w:p>
    <w:p w14:paraId="4E10DB70" w14:textId="77777777" w:rsidR="00D6611B" w:rsidRDefault="0092034F" w:rsidP="00C765F2">
      <w:pPr>
        <w:spacing w:line="480" w:lineRule="auto"/>
        <w:ind w:firstLine="709"/>
        <w:jc w:val="both"/>
      </w:pPr>
      <w:r>
        <w:t>Penyidikan juga merupakan tahap yang menentukan bagi pembuktian. Apabila pada tahap ini alat bukti tidak dikumpulkan secara benar, maka proses penegakan hukum pada tahap selanjutnya akan mengalami kesulitan. Dengan demikian, kualitas penyidikan sangat memengaruhi kualitas keadilan dalam suatu perkara pidana.</w:t>
      </w:r>
      <w:r>
        <w:rPr>
          <w:rStyle w:val="FootnoteReference"/>
        </w:rPr>
        <w:footnoteReference w:id="63"/>
      </w:r>
    </w:p>
    <w:p w14:paraId="77BF3BF0" w14:textId="77777777" w:rsidR="00D6611B" w:rsidRDefault="0092034F" w:rsidP="00C765F2">
      <w:pPr>
        <w:spacing w:line="480" w:lineRule="auto"/>
        <w:ind w:firstLine="709"/>
        <w:jc w:val="both"/>
      </w:pPr>
      <w:r>
        <w:t>Dalam perkara penganiayaan, penyidikan dilakukan untuk mengungkap bagaimana peristiwa terjadi, siapa pelakunya, bagaimana kondisi korban, apa akibat yang ditimbulkan, dan apakah seluruh unsur tindak pidana telah terpenuhi. Semua ini harus dibuktikan melalui alat bukti yang sah menurut hukum acara pidana.</w:t>
      </w:r>
      <w:r>
        <w:rPr>
          <w:rStyle w:val="FootnoteReference"/>
        </w:rPr>
        <w:footnoteReference w:id="64"/>
      </w:r>
    </w:p>
    <w:p w14:paraId="7E6B67BC" w14:textId="77777777" w:rsidR="00D6611B" w:rsidRDefault="0092034F" w:rsidP="00C765F2">
      <w:pPr>
        <w:spacing w:line="480" w:lineRule="auto"/>
        <w:ind w:firstLine="709"/>
        <w:jc w:val="both"/>
      </w:pPr>
      <w:r>
        <w:t>Penyidikan juga mempunyai arti penting bagi perlindungan korban. Melalui penyidikan yang benar, korban memperoleh ruang untuk menyampaikan keterangannya, sedangkan negara memperoleh dasar yang kuat untuk menindak pelaku sesuai hukum yang berlaku.</w:t>
      </w:r>
      <w:r>
        <w:rPr>
          <w:rStyle w:val="FootnoteReference"/>
        </w:rPr>
        <w:footnoteReference w:id="65"/>
      </w:r>
    </w:p>
    <w:p w14:paraId="797799BE" w14:textId="77777777" w:rsidR="00D6611B" w:rsidRDefault="0092034F" w:rsidP="00C765F2">
      <w:pPr>
        <w:spacing w:line="480" w:lineRule="auto"/>
        <w:ind w:firstLine="709"/>
        <w:jc w:val="both"/>
      </w:pPr>
      <w:r>
        <w:t xml:space="preserve">Dengan demikian, penyidikan dalam penelitian ini dipahami sebagai proses hukum yang dilakukan oleh penyidik Polres Batu Bara untuk mengungkap, </w:t>
      </w:r>
      <w:r>
        <w:lastRenderedPageBreak/>
        <w:t>membuktikan, dan membangun perkara penganiayaan terhadap perempuan berdasarkan Pasal 466 KUHP.</w:t>
      </w:r>
    </w:p>
    <w:p w14:paraId="7C52175D" w14:textId="77777777" w:rsidR="00D6611B" w:rsidRDefault="0092034F" w:rsidP="00C765F2">
      <w:pPr>
        <w:pStyle w:val="Heading3"/>
        <w:numPr>
          <w:ilvl w:val="0"/>
          <w:numId w:val="3"/>
        </w:numPr>
        <w:rPr>
          <w:b w:val="0"/>
          <w:bCs w:val="0"/>
        </w:rPr>
      </w:pPr>
      <w:bookmarkStart w:id="19" w:name="_Toc232115465"/>
      <w:r>
        <w:rPr>
          <w:b w:val="0"/>
          <w:bCs w:val="0"/>
        </w:rPr>
        <w:t>Dasar Hukum Penyidikan</w:t>
      </w:r>
      <w:bookmarkEnd w:id="19"/>
      <w:r>
        <w:rPr>
          <w:b w:val="0"/>
          <w:bCs w:val="0"/>
        </w:rPr>
        <w:t xml:space="preserve"> </w:t>
      </w:r>
    </w:p>
    <w:p w14:paraId="74574909" w14:textId="77777777" w:rsidR="00D6611B" w:rsidRDefault="0092034F" w:rsidP="00C765F2">
      <w:pPr>
        <w:spacing w:line="480" w:lineRule="auto"/>
        <w:ind w:firstLine="709"/>
        <w:jc w:val="both"/>
      </w:pPr>
      <w:r>
        <w:t xml:space="preserve">Dasar hukum penyidikan di Indonesia diatur dalam Kitab </w:t>
      </w:r>
      <w:proofErr w:type="spellStart"/>
      <w:r>
        <w:t>Undang-Undang</w:t>
      </w:r>
      <w:proofErr w:type="spellEnd"/>
      <w:r>
        <w:t xml:space="preserve"> Hukum Acara Pidana, khususnya ketentuan-ketentuan yang menjelaskan pengertian penyidikan, kewenangan penyidik, dan tata cara tindakan penyidikan. KUHAP menjadi landasan umum bagi setiap penyidik dalam menangani perkara pidana, termasuk penganiayaan.</w:t>
      </w:r>
      <w:r>
        <w:rPr>
          <w:rStyle w:val="FootnoteReference"/>
        </w:rPr>
        <w:footnoteReference w:id="66"/>
      </w:r>
    </w:p>
    <w:p w14:paraId="5399E105" w14:textId="77777777" w:rsidR="00D6611B" w:rsidRDefault="0092034F" w:rsidP="00C765F2">
      <w:pPr>
        <w:spacing w:line="480" w:lineRule="auto"/>
        <w:ind w:firstLine="709"/>
        <w:jc w:val="both"/>
      </w:pPr>
      <w:r>
        <w:t>Selain KUHAP, dasar hukum penyidikan juga berkaitan dengan ketentuan yang mengatur kewenangan Kepolisian Negara Republik Indonesia sebagai aparat penegak hukum. Dalam hal ini, polisi mempunyai tugas dan wewenang melakukan penyelidikan dan penyidikan terhadap tindak pidana.</w:t>
      </w:r>
      <w:r>
        <w:rPr>
          <w:rStyle w:val="FootnoteReference"/>
        </w:rPr>
        <w:footnoteReference w:id="67"/>
      </w:r>
    </w:p>
    <w:p w14:paraId="515A554E" w14:textId="77777777" w:rsidR="00D6611B" w:rsidRDefault="0092034F" w:rsidP="00C765F2">
      <w:pPr>
        <w:spacing w:line="480" w:lineRule="auto"/>
        <w:ind w:firstLine="709"/>
        <w:jc w:val="both"/>
      </w:pPr>
      <w:r>
        <w:t>Dalam perkara penganiayaan, dasar hukum penyidikan juga bertumpu pada KUHP sebagai hukum materiil. Artinya, penyidikan dilakukan untuk membuktikan apakah peristiwa yang dilaporkan memenuhi unsur tindak pidana sebagaimana diatur dalam Pasal 466 KUHP dan pasal terkait lainnya.</w:t>
      </w:r>
      <w:r>
        <w:rPr>
          <w:rStyle w:val="FootnoteReference"/>
        </w:rPr>
        <w:footnoteReference w:id="68"/>
      </w:r>
    </w:p>
    <w:p w14:paraId="11877F09" w14:textId="77777777" w:rsidR="00D6611B" w:rsidRDefault="0092034F" w:rsidP="00C765F2">
      <w:pPr>
        <w:spacing w:line="480" w:lineRule="auto"/>
        <w:ind w:firstLine="709"/>
        <w:jc w:val="both"/>
      </w:pPr>
      <w:r>
        <w:t>Dasar hukum penyidikan juga mencakup ketentuan tentang alat bukti, pemeriksaan saksi, pemeriksaan tersangka, penyitaan, dan pembuatan berita acara. Semua tindakan itu harus dilakukan menurut prosedur yang ditentukan undang-undang agar hasil penyidikan sah secara hukum.</w:t>
      </w:r>
      <w:r>
        <w:rPr>
          <w:rStyle w:val="FootnoteReference"/>
        </w:rPr>
        <w:footnoteReference w:id="69"/>
      </w:r>
    </w:p>
    <w:p w14:paraId="16212CC0" w14:textId="77777777" w:rsidR="00D6611B" w:rsidRDefault="0092034F" w:rsidP="00C765F2">
      <w:pPr>
        <w:spacing w:line="480" w:lineRule="auto"/>
        <w:ind w:firstLine="709"/>
        <w:jc w:val="both"/>
      </w:pPr>
      <w:r>
        <w:t xml:space="preserve">Selain itu, dasar hukum penyidikan memberi batas bagi tindakan penyidik agar tidak bertindak sewenang-wenang. Penyidik wajib bekerja berdasarkan </w:t>
      </w:r>
      <w:r>
        <w:lastRenderedPageBreak/>
        <w:t>hukum, menghormati hak tersangka, dan sekaligus melindungi kepentingan korban serta kepentingan penegakan hukum secara adil.</w:t>
      </w:r>
      <w:r>
        <w:rPr>
          <w:rStyle w:val="FootnoteReference"/>
        </w:rPr>
        <w:footnoteReference w:id="70"/>
      </w:r>
    </w:p>
    <w:p w14:paraId="11BE893C" w14:textId="77777777" w:rsidR="00D6611B" w:rsidRDefault="0092034F" w:rsidP="00C765F2">
      <w:pPr>
        <w:spacing w:line="480" w:lineRule="auto"/>
        <w:ind w:firstLine="709"/>
        <w:jc w:val="both"/>
      </w:pPr>
      <w:r>
        <w:t xml:space="preserve">Dengan demikian, dasar hukum penyidikan dalam penelitian ini bertumpu pada KUHAP sebagai hukum acara pidana, </w:t>
      </w:r>
      <w:proofErr w:type="spellStart"/>
      <w:r>
        <w:t>Undang-Undang</w:t>
      </w:r>
      <w:proofErr w:type="spellEnd"/>
      <w:r>
        <w:t xml:space="preserve"> Kepolisian sebagai dasar kewenangan institusional penyidik, serta Pasal 466 KUHP sebagai dasar hukum materiil perkara penganiayaan terhadap perempuan.</w:t>
      </w:r>
    </w:p>
    <w:p w14:paraId="55A38136" w14:textId="77777777" w:rsidR="00D6611B" w:rsidRDefault="0092034F" w:rsidP="00C765F2">
      <w:pPr>
        <w:pStyle w:val="Heading3"/>
        <w:numPr>
          <w:ilvl w:val="0"/>
          <w:numId w:val="3"/>
        </w:numPr>
        <w:rPr>
          <w:b w:val="0"/>
          <w:bCs w:val="0"/>
        </w:rPr>
      </w:pPr>
      <w:bookmarkStart w:id="20" w:name="_Toc232115466"/>
      <w:r>
        <w:rPr>
          <w:b w:val="0"/>
          <w:bCs w:val="0"/>
        </w:rPr>
        <w:t>Wewenang Penyidik dalam Perkara Penganiayaan</w:t>
      </w:r>
      <w:bookmarkEnd w:id="20"/>
      <w:r>
        <w:rPr>
          <w:b w:val="0"/>
          <w:bCs w:val="0"/>
        </w:rPr>
        <w:t xml:space="preserve"> </w:t>
      </w:r>
    </w:p>
    <w:p w14:paraId="7CA0DA37" w14:textId="77777777" w:rsidR="00D6611B" w:rsidRDefault="0092034F" w:rsidP="00C765F2">
      <w:pPr>
        <w:spacing w:line="480" w:lineRule="auto"/>
        <w:ind w:firstLine="709"/>
        <w:jc w:val="both"/>
      </w:pPr>
      <w:r>
        <w:t>Penyidik mempunyai wewenang untuk menerima laporan atau pengaduan dari seseorang tentang adanya tindak pidana. Dalam perkara penganiayaan terhadap perempuan, kewenangan ini menjadi tahap awal untuk membawa peristiwa kekerasan ke dalam proses hukum formal.</w:t>
      </w:r>
      <w:r>
        <w:rPr>
          <w:rStyle w:val="FootnoteReference"/>
        </w:rPr>
        <w:footnoteReference w:id="71"/>
      </w:r>
    </w:p>
    <w:p w14:paraId="41E07BDF" w14:textId="77777777" w:rsidR="00D6611B" w:rsidRDefault="0092034F" w:rsidP="00C765F2">
      <w:pPr>
        <w:spacing w:line="480" w:lineRule="auto"/>
        <w:ind w:firstLine="709"/>
        <w:jc w:val="both"/>
      </w:pPr>
      <w:r>
        <w:t>Selain menerima laporan, penyidik berwenang melakukan tindakan pertama pada saat di tempat kejadian, mencari keterangan awal, dan mengamankan bukti-bukti yang diperlukan. Wewenang ini penting agar fakta-fakta awal tidak hilang dan dapat segera dijadikan dasar pengembangan perkara.</w:t>
      </w:r>
      <w:r>
        <w:rPr>
          <w:rStyle w:val="FootnoteReference"/>
        </w:rPr>
        <w:footnoteReference w:id="72"/>
      </w:r>
    </w:p>
    <w:p w14:paraId="5BFCF8A5" w14:textId="77777777" w:rsidR="00D6611B" w:rsidRDefault="0092034F" w:rsidP="00C765F2">
      <w:pPr>
        <w:spacing w:line="480" w:lineRule="auto"/>
        <w:ind w:firstLine="709"/>
        <w:jc w:val="both"/>
      </w:pPr>
      <w:r>
        <w:t>Penyidik juga berwenang memanggil, memeriksa, dan meminta keterangan dari saksi, korban, maupun tersangka. Dalam perkara penganiayaan, keterangan para pihak sangat penting untuk menghubungkan antara perbuatan pelaku, akibat yang dialami korban, dan alat bukti lain yang tersedia.</w:t>
      </w:r>
      <w:r>
        <w:rPr>
          <w:rStyle w:val="FootnoteReference"/>
        </w:rPr>
        <w:footnoteReference w:id="73"/>
      </w:r>
    </w:p>
    <w:p w14:paraId="12DBBB98" w14:textId="77777777" w:rsidR="00D6611B" w:rsidRDefault="0092034F" w:rsidP="00C765F2">
      <w:pPr>
        <w:spacing w:line="480" w:lineRule="auto"/>
        <w:ind w:firstLine="709"/>
        <w:jc w:val="both"/>
      </w:pPr>
      <w:r>
        <w:t xml:space="preserve">Selain itu, penyidik berwenang melakukan penyitaan terhadap barang bukti yang berkaitan dengan perkara. Jika dalam penganiayaan digunakan alat tertentu </w:t>
      </w:r>
      <w:r>
        <w:lastRenderedPageBreak/>
        <w:t>atau terdapat benda yang memiliki kaitan dengan kejadian, maka penyitaan menjadi bagian dari pembuktian hukum.</w:t>
      </w:r>
      <w:r>
        <w:rPr>
          <w:rStyle w:val="FootnoteReference"/>
        </w:rPr>
        <w:footnoteReference w:id="74"/>
      </w:r>
    </w:p>
    <w:p w14:paraId="12B86E0B" w14:textId="77777777" w:rsidR="00D6611B" w:rsidRDefault="0092034F" w:rsidP="00C765F2">
      <w:pPr>
        <w:spacing w:line="480" w:lineRule="auto"/>
        <w:ind w:firstLine="709"/>
        <w:jc w:val="both"/>
      </w:pPr>
      <w:r>
        <w:t>Penyidik juga mempunyai kewenangan menuangkan seluruh hasil pemeriksaan ke dalam berita acara pemeriksaan. BAP mempunyai arti penting karena menjadi dokumen resmi yang menggambarkan proses pemeriksaan serta dasar bagi penuntut umum dalam menilai kelengkapan perkara.</w:t>
      </w:r>
      <w:r>
        <w:rPr>
          <w:rStyle w:val="FootnoteReference"/>
        </w:rPr>
        <w:footnoteReference w:id="75"/>
      </w:r>
    </w:p>
    <w:p w14:paraId="7B5A87D5" w14:textId="0D3EDD53" w:rsidR="00D6611B" w:rsidRDefault="0092034F" w:rsidP="00FC4901">
      <w:pPr>
        <w:spacing w:line="480" w:lineRule="auto"/>
        <w:ind w:firstLine="709"/>
        <w:jc w:val="both"/>
      </w:pPr>
      <w:r>
        <w:t>Dengan demikian, wewenang penyidik dalam perkara penganiayaan terhadap perempuan mencakup menerima laporan, memeriksa korban dan saksi, memeriksa tersangka, mengumpulkan alat bukti, dan menyusun berkas perkara untuk membuktikan ada tidaknya tindak pidana penganiayaan berdasarkan Pasal 466 KUHP.</w:t>
      </w:r>
    </w:p>
    <w:p w14:paraId="504E9B74" w14:textId="77777777" w:rsidR="00D6611B" w:rsidRDefault="00D6611B">
      <w:pPr>
        <w:pStyle w:val="BodyText0"/>
        <w:spacing w:after="0" w:line="240" w:lineRule="auto"/>
        <w:ind w:left="851" w:hanging="851"/>
        <w:jc w:val="both"/>
        <w:rPr>
          <w:color w:val="000000"/>
          <w:sz w:val="24"/>
          <w:szCs w:val="24"/>
          <w:lang w:bidi="id-ID"/>
        </w:rPr>
      </w:pPr>
    </w:p>
    <w:sectPr w:rsidR="00D6611B">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9B8AF" w14:textId="77777777" w:rsidR="008F6229" w:rsidRDefault="008F6229">
      <w:r>
        <w:separator/>
      </w:r>
    </w:p>
  </w:endnote>
  <w:endnote w:type="continuationSeparator" w:id="0">
    <w:p w14:paraId="654C0698" w14:textId="77777777" w:rsidR="008F6229" w:rsidRDefault="008F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3195A" w14:textId="77777777" w:rsidR="008F6229" w:rsidRDefault="008F6229">
      <w:r>
        <w:separator/>
      </w:r>
    </w:p>
  </w:footnote>
  <w:footnote w:type="continuationSeparator" w:id="0">
    <w:p w14:paraId="4CEDC487" w14:textId="77777777" w:rsidR="008F6229" w:rsidRDefault="008F6229">
      <w:r>
        <w:continuationSeparator/>
      </w:r>
    </w:p>
  </w:footnote>
  <w:footnote w:id="1">
    <w:p w14:paraId="0401EDD7" w14:textId="77777777" w:rsidR="00D6611B" w:rsidRDefault="0092034F">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54.</w:t>
      </w:r>
    </w:p>
  </w:footnote>
  <w:footnote w:id="2">
    <w:p w14:paraId="590DF8D1" w14:textId="77777777" w:rsidR="00D6611B" w:rsidRDefault="0092034F">
      <w:pPr>
        <w:pStyle w:val="FootnoteText"/>
        <w:ind w:firstLine="709"/>
      </w:pPr>
      <w:r>
        <w:rPr>
          <w:rStyle w:val="FootnoteCharacters"/>
        </w:rPr>
        <w:footnoteRef/>
      </w:r>
      <w:r>
        <w:t xml:space="preserve"> </w:t>
      </w:r>
      <w:proofErr w:type="spellStart"/>
      <w:r>
        <w:t>Sudarto</w:t>
      </w:r>
      <w:proofErr w:type="spellEnd"/>
      <w:r>
        <w:t xml:space="preserve">, </w:t>
      </w:r>
      <w:r>
        <w:rPr>
          <w:rStyle w:val="Emphasis"/>
        </w:rPr>
        <w:t xml:space="preserve">Hukum </w:t>
      </w:r>
      <w:proofErr w:type="spellStart"/>
      <w:r>
        <w:rPr>
          <w:rStyle w:val="Emphasis"/>
        </w:rPr>
        <w:t>Pidana</w:t>
      </w:r>
      <w:proofErr w:type="spellEnd"/>
      <w:r>
        <w:rPr>
          <w:rStyle w:val="Emphasis"/>
        </w:rPr>
        <w:t xml:space="preserve"> I</w:t>
      </w:r>
      <w:r>
        <w:t xml:space="preserve">, (Semarang: Yayasan </w:t>
      </w:r>
      <w:proofErr w:type="spellStart"/>
      <w:r>
        <w:t>Sudarto</w:t>
      </w:r>
      <w:proofErr w:type="spellEnd"/>
      <w:r>
        <w:t xml:space="preserve">, 1990), </w:t>
      </w:r>
      <w:proofErr w:type="spellStart"/>
      <w:r>
        <w:t>hlm</w:t>
      </w:r>
      <w:proofErr w:type="spellEnd"/>
      <w:r>
        <w:t>. 38.</w:t>
      </w:r>
    </w:p>
  </w:footnote>
  <w:footnote w:id="3">
    <w:p w14:paraId="080F4E1C" w14:textId="77777777" w:rsidR="00D6611B" w:rsidRDefault="0092034F">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w:t>
      </w:r>
      <w:r>
        <w:t xml:space="preserve">, (Jakarta: Aksara Baru, 1983), </w:t>
      </w:r>
      <w:proofErr w:type="spellStart"/>
      <w:r>
        <w:t>hlm</w:t>
      </w:r>
      <w:proofErr w:type="spellEnd"/>
      <w:r>
        <w:t>. 23.</w:t>
      </w:r>
    </w:p>
  </w:footnote>
  <w:footnote w:id="4">
    <w:p w14:paraId="4E343607" w14:textId="77777777" w:rsidR="00D6611B" w:rsidRDefault="0092034F">
      <w:pPr>
        <w:pStyle w:val="FootnoteText"/>
        <w:ind w:firstLine="709"/>
        <w:jc w:val="both"/>
      </w:pPr>
      <w:r>
        <w:rPr>
          <w:rStyle w:val="FootnoteCharacters"/>
        </w:rPr>
        <w:footnoteRef/>
      </w:r>
      <w:r>
        <w:t xml:space="preserve"> </w:t>
      </w:r>
      <w:proofErr w:type="spellStart"/>
      <w:r>
        <w:t>Chairul</w:t>
      </w:r>
      <w:proofErr w:type="spellEnd"/>
      <w:r>
        <w:t xml:space="preserve"> Huda,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w:t>
      </w:r>
      <w:proofErr w:type="spellStart"/>
      <w:r>
        <w:rPr>
          <w:rStyle w:val="Emphasis"/>
        </w:rPr>
        <w:t>kepada</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xml:space="preserve">, 2006), </w:t>
      </w:r>
      <w:proofErr w:type="spellStart"/>
      <w:r>
        <w:t>hlm</w:t>
      </w:r>
      <w:proofErr w:type="spellEnd"/>
      <w:r>
        <w:t>. 27.</w:t>
      </w:r>
    </w:p>
  </w:footnote>
  <w:footnote w:id="5">
    <w:p w14:paraId="44098AAD" w14:textId="77777777" w:rsidR="00D6611B" w:rsidRDefault="0092034F">
      <w:pPr>
        <w:pStyle w:val="FootnoteText"/>
        <w:ind w:firstLine="709"/>
        <w:jc w:val="both"/>
      </w:pPr>
      <w:r>
        <w:rPr>
          <w:rStyle w:val="FootnoteCharacters"/>
        </w:rPr>
        <w:footnoteRef/>
      </w:r>
      <w:r>
        <w:t xml:space="preserve"> Jan Remmelink, </w:t>
      </w:r>
      <w:r>
        <w:rPr>
          <w:rStyle w:val="Emphasis"/>
        </w:rPr>
        <w:t xml:space="preserve">Hukum </w:t>
      </w:r>
      <w:proofErr w:type="spellStart"/>
      <w:r>
        <w:rPr>
          <w:rStyle w:val="Emphasis"/>
        </w:rPr>
        <w:t>Pidana</w:t>
      </w:r>
      <w:proofErr w:type="spellEnd"/>
      <w:r>
        <w:rPr>
          <w:rStyle w:val="Emphasis"/>
        </w:rPr>
        <w:t xml:space="preserve">: </w:t>
      </w:r>
      <w:proofErr w:type="spellStart"/>
      <w:r>
        <w:rPr>
          <w:rStyle w:val="Emphasis"/>
        </w:rPr>
        <w:t>Komentar</w:t>
      </w:r>
      <w:proofErr w:type="spellEnd"/>
      <w:r>
        <w:rPr>
          <w:rStyle w:val="Emphasis"/>
        </w:rPr>
        <w:t xml:space="preserve"> </w:t>
      </w:r>
      <w:proofErr w:type="spellStart"/>
      <w:r>
        <w:rPr>
          <w:rStyle w:val="Emphasis"/>
        </w:rPr>
        <w:t>atas</w:t>
      </w:r>
      <w:proofErr w:type="spellEnd"/>
      <w:r>
        <w:rPr>
          <w:rStyle w:val="Emphasis"/>
        </w:rPr>
        <w:t xml:space="preserve"> Pasal-Pasal </w:t>
      </w:r>
      <w:proofErr w:type="spellStart"/>
      <w:r>
        <w:rPr>
          <w:rStyle w:val="Emphasis"/>
        </w:rPr>
        <w:t>Terpenting</w:t>
      </w:r>
      <w:proofErr w:type="spellEnd"/>
      <w:r>
        <w:rPr>
          <w:rStyle w:val="Emphasis"/>
        </w:rPr>
        <w:t xml:space="preserve"> </w:t>
      </w:r>
      <w:proofErr w:type="spellStart"/>
      <w:r>
        <w:rPr>
          <w:rStyle w:val="Emphasis"/>
        </w:rPr>
        <w:t>dari</w:t>
      </w:r>
      <w:proofErr w:type="spellEnd"/>
      <w:r>
        <w:rPr>
          <w:rStyle w:val="Emphasis"/>
        </w:rPr>
        <w:t xml:space="preserve"> KUHP Belanda dan </w:t>
      </w:r>
      <w:proofErr w:type="spellStart"/>
      <w:r>
        <w:rPr>
          <w:rStyle w:val="Emphasis"/>
        </w:rPr>
        <w:t>Padanannya</w:t>
      </w:r>
      <w:proofErr w:type="spellEnd"/>
      <w:r>
        <w:rPr>
          <w:rStyle w:val="Emphasis"/>
        </w:rPr>
        <w:t xml:space="preserve"> </w:t>
      </w:r>
      <w:proofErr w:type="spellStart"/>
      <w:r>
        <w:rPr>
          <w:rStyle w:val="Emphasis"/>
        </w:rPr>
        <w:t>dalam</w:t>
      </w:r>
      <w:proofErr w:type="spellEnd"/>
      <w:r>
        <w:rPr>
          <w:rStyle w:val="Emphasis"/>
        </w:rPr>
        <w:t xml:space="preserve"> KUHP Indonesia</w:t>
      </w:r>
      <w:r>
        <w:t xml:space="preserve">, (Jakarta: Gramedia Pustaka Utama, 2003), </w:t>
      </w:r>
      <w:proofErr w:type="spellStart"/>
      <w:r>
        <w:t>hlm</w:t>
      </w:r>
      <w:proofErr w:type="spellEnd"/>
      <w:r>
        <w:t>. 76.</w:t>
      </w:r>
    </w:p>
  </w:footnote>
  <w:footnote w:id="6">
    <w:p w14:paraId="3D19EA69" w14:textId="77777777" w:rsidR="00D6611B" w:rsidRDefault="0092034F">
      <w:pPr>
        <w:pStyle w:val="FootnoteText"/>
        <w:ind w:firstLine="709"/>
      </w:pPr>
      <w:r>
        <w:rPr>
          <w:rStyle w:val="FootnoteCharacters"/>
        </w:rPr>
        <w:footnoteRef/>
      </w:r>
      <w:r>
        <w:t xml:space="preserve"> Andi Zainal Abidin Farid,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xml:space="preserve">, 2007), </w:t>
      </w:r>
      <w:proofErr w:type="spellStart"/>
      <w:r>
        <w:t>hlm</w:t>
      </w:r>
      <w:proofErr w:type="spellEnd"/>
      <w:r>
        <w:t>. 112.</w:t>
      </w:r>
    </w:p>
  </w:footnote>
  <w:footnote w:id="7">
    <w:p w14:paraId="264296A3" w14:textId="77777777" w:rsidR="00D6611B" w:rsidRDefault="0092034F">
      <w:pPr>
        <w:pStyle w:val="FootnoteText"/>
        <w:ind w:firstLine="709"/>
        <w:jc w:val="both"/>
      </w:pPr>
      <w:r>
        <w:rPr>
          <w:rStyle w:val="FootnoteCharacters"/>
        </w:rPr>
        <w:footnoteRef/>
      </w:r>
      <w:r>
        <w:t xml:space="preserve"> </w:t>
      </w:r>
      <w:proofErr w:type="spellStart"/>
      <w:r>
        <w:t>Wirjono</w:t>
      </w:r>
      <w:proofErr w:type="spellEnd"/>
      <w:r>
        <w:t xml:space="preserve"> </w:t>
      </w:r>
      <w:proofErr w:type="spellStart"/>
      <w:r>
        <w:t>Prodjodikoro</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w:t>
      </w:r>
      <w:r>
        <w:t xml:space="preserve">, (Bandung: Refika </w:t>
      </w:r>
      <w:proofErr w:type="spellStart"/>
      <w:r>
        <w:t>Aditama</w:t>
      </w:r>
      <w:proofErr w:type="spellEnd"/>
      <w:r>
        <w:t xml:space="preserve">, 2003), </w:t>
      </w:r>
      <w:proofErr w:type="spellStart"/>
      <w:r>
        <w:t>hlm</w:t>
      </w:r>
      <w:proofErr w:type="spellEnd"/>
      <w:r>
        <w:t>. 55.</w:t>
      </w:r>
    </w:p>
  </w:footnote>
  <w:footnote w:id="8">
    <w:p w14:paraId="6399B28B" w14:textId="77777777" w:rsidR="00D6611B" w:rsidRDefault="0092034F">
      <w:pPr>
        <w:pStyle w:val="FootnoteText"/>
        <w:ind w:firstLine="709"/>
        <w:jc w:val="both"/>
      </w:pPr>
      <w:r>
        <w:rPr>
          <w:rStyle w:val="FootnoteCharacters"/>
        </w:rPr>
        <w:footnoteRef/>
      </w:r>
      <w:r>
        <w:t xml:space="preserve"> P.A.F. </w:t>
      </w:r>
      <w:proofErr w:type="spellStart"/>
      <w:r>
        <w:t>Lamintang</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w:t>
      </w:r>
      <w:r>
        <w:t xml:space="preserve">, (Bandung: Citra Aditya Bakti, 1997), </w:t>
      </w:r>
      <w:proofErr w:type="spellStart"/>
      <w:r>
        <w:t>hlm</w:t>
      </w:r>
      <w:proofErr w:type="spellEnd"/>
      <w:r>
        <w:t>. 193.</w:t>
      </w:r>
    </w:p>
  </w:footnote>
  <w:footnote w:id="9">
    <w:p w14:paraId="1A637BB4" w14:textId="77777777" w:rsidR="00D6611B" w:rsidRDefault="0092034F">
      <w:pPr>
        <w:pStyle w:val="FootnoteText"/>
        <w:ind w:firstLine="709"/>
        <w:jc w:val="both"/>
      </w:pPr>
      <w:r>
        <w:rPr>
          <w:rStyle w:val="FootnoteCharacters"/>
        </w:rPr>
        <w:footnoteRef/>
      </w:r>
      <w:r>
        <w:t xml:space="preserve"> S.R. </w:t>
      </w:r>
      <w:proofErr w:type="spellStart"/>
      <w:r>
        <w:t>Sianturi</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(Jakarta: Alumni </w:t>
      </w:r>
      <w:proofErr w:type="spellStart"/>
      <w:r>
        <w:t>Ahaem-Petehaem</w:t>
      </w:r>
      <w:proofErr w:type="spellEnd"/>
      <w:r>
        <w:t xml:space="preserve">, 1996), </w:t>
      </w:r>
      <w:proofErr w:type="spellStart"/>
      <w:r>
        <w:t>hlm</w:t>
      </w:r>
      <w:proofErr w:type="spellEnd"/>
      <w:r>
        <w:t>. 245.</w:t>
      </w:r>
    </w:p>
  </w:footnote>
  <w:footnote w:id="10">
    <w:p w14:paraId="758D6FDF" w14:textId="77777777" w:rsidR="00D6611B" w:rsidRDefault="0092034F">
      <w:pPr>
        <w:pStyle w:val="FootnoteText"/>
        <w:ind w:firstLine="709"/>
        <w:jc w:val="both"/>
      </w:pPr>
      <w:r>
        <w:rPr>
          <w:rStyle w:val="FootnoteCharacters"/>
        </w:rPr>
        <w:footnoteRef/>
      </w:r>
      <w:r>
        <w:t xml:space="preserve"> Bambang Poernomo, </w:t>
      </w:r>
      <w:r>
        <w:rPr>
          <w:rStyle w:val="Emphasis"/>
        </w:rPr>
        <w:t xml:space="preserve">Asas-Asas Hukum </w:t>
      </w:r>
      <w:proofErr w:type="spellStart"/>
      <w:r>
        <w:rPr>
          <w:rStyle w:val="Emphasis"/>
        </w:rPr>
        <w:t>Pidana</w:t>
      </w:r>
      <w:proofErr w:type="spellEnd"/>
      <w:r>
        <w:t xml:space="preserve">, (Jakarta: Ghalia Indonesia, 2004), </w:t>
      </w:r>
      <w:proofErr w:type="spellStart"/>
      <w:r>
        <w:t>hlm</w:t>
      </w:r>
      <w:proofErr w:type="spellEnd"/>
      <w:r>
        <w:t>. 96.</w:t>
      </w:r>
    </w:p>
  </w:footnote>
  <w:footnote w:id="11">
    <w:p w14:paraId="4E09A2CA" w14:textId="77777777" w:rsidR="00D6611B" w:rsidRDefault="0092034F">
      <w:pPr>
        <w:pStyle w:val="FootnoteText"/>
        <w:ind w:firstLine="709"/>
        <w:jc w:val="both"/>
      </w:pPr>
      <w:r>
        <w:rPr>
          <w:rStyle w:val="FootnoteCharacters"/>
        </w:rPr>
        <w:footnoteRef/>
      </w:r>
      <w:r>
        <w:t xml:space="preserve"> </w:t>
      </w:r>
      <w:proofErr w:type="spellStart"/>
      <w:r>
        <w:t>Moeljatno</w:t>
      </w:r>
      <w:proofErr w:type="spellEnd"/>
      <w:r>
        <w:t xml:space="preserve">, </w:t>
      </w:r>
      <w:proofErr w:type="spellStart"/>
      <w:r>
        <w:rPr>
          <w:rStyle w:val="Emphasis"/>
        </w:rPr>
        <w:t>Delik-Delik</w:t>
      </w:r>
      <w:proofErr w:type="spellEnd"/>
      <w:r>
        <w:rPr>
          <w:rStyle w:val="Emphasis"/>
        </w:rPr>
        <w:t xml:space="preserve"> </w:t>
      </w:r>
      <w:proofErr w:type="spellStart"/>
      <w:r>
        <w:rPr>
          <w:rStyle w:val="Emphasis"/>
        </w:rPr>
        <w:t>Percobaan</w:t>
      </w:r>
      <w:proofErr w:type="spellEnd"/>
      <w:r>
        <w:rPr>
          <w:rStyle w:val="Emphasis"/>
        </w:rPr>
        <w:t>, Delik-</w:t>
      </w:r>
      <w:proofErr w:type="spellStart"/>
      <w:r>
        <w:rPr>
          <w:rStyle w:val="Emphasis"/>
        </w:rPr>
        <w:t>Delik</w:t>
      </w:r>
      <w:proofErr w:type="spellEnd"/>
      <w:r>
        <w:rPr>
          <w:rStyle w:val="Emphasis"/>
        </w:rPr>
        <w:t xml:space="preserve"> </w:t>
      </w:r>
      <w:proofErr w:type="spellStart"/>
      <w:r>
        <w:rPr>
          <w:rStyle w:val="Emphasis"/>
        </w:rPr>
        <w:t>Penyertaan</w:t>
      </w:r>
      <w:proofErr w:type="spellEnd"/>
      <w:r>
        <w:rPr>
          <w:rStyle w:val="Emphasis"/>
        </w:rPr>
        <w:t>, dan Delik-</w:t>
      </w:r>
      <w:proofErr w:type="spellStart"/>
      <w:r>
        <w:rPr>
          <w:rStyle w:val="Emphasis"/>
        </w:rPr>
        <w:t>Delik</w:t>
      </w:r>
      <w:proofErr w:type="spellEnd"/>
      <w:r>
        <w:rPr>
          <w:rStyle w:val="Emphasis"/>
        </w:rPr>
        <w:t xml:space="preserve"> Gabungan</w:t>
      </w:r>
      <w:r>
        <w:t xml:space="preserve">, (Jakarta: Bina Aksara, 1985), </w:t>
      </w:r>
      <w:proofErr w:type="spellStart"/>
      <w:r>
        <w:t>hlm</w:t>
      </w:r>
      <w:proofErr w:type="spellEnd"/>
      <w:r>
        <w:t>. 14.</w:t>
      </w:r>
    </w:p>
  </w:footnote>
  <w:footnote w:id="12">
    <w:p w14:paraId="62B7050F" w14:textId="77777777" w:rsidR="00D6611B" w:rsidRDefault="0092034F">
      <w:pPr>
        <w:pStyle w:val="FootnoteText"/>
        <w:ind w:firstLine="709"/>
        <w:jc w:val="both"/>
      </w:pPr>
      <w:r>
        <w:rPr>
          <w:rStyle w:val="FootnoteCharacters"/>
        </w:rPr>
        <w:footnoteRef/>
      </w:r>
      <w:r>
        <w:t xml:space="preserve"> Andi Hamzah,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Perkembangannya</w:t>
      </w:r>
      <w:proofErr w:type="spellEnd"/>
      <w:r>
        <w:t xml:space="preserve">, (Jakarta: </w:t>
      </w:r>
      <w:proofErr w:type="spellStart"/>
      <w:r>
        <w:t>Sofmedia</w:t>
      </w:r>
      <w:proofErr w:type="spellEnd"/>
      <w:r>
        <w:t xml:space="preserve">, 2012), </w:t>
      </w:r>
      <w:proofErr w:type="spellStart"/>
      <w:r>
        <w:t>hlm</w:t>
      </w:r>
      <w:proofErr w:type="spellEnd"/>
      <w:r>
        <w:t>. 71.</w:t>
      </w:r>
    </w:p>
  </w:footnote>
  <w:footnote w:id="13">
    <w:p w14:paraId="2249FCF3" w14:textId="77777777" w:rsidR="00D6611B" w:rsidRDefault="0092034F">
      <w:pPr>
        <w:pStyle w:val="FootnoteText"/>
        <w:ind w:firstLine="709"/>
        <w:jc w:val="both"/>
      </w:pPr>
      <w:r>
        <w:rPr>
          <w:rStyle w:val="FootnoteCharacters"/>
        </w:rPr>
        <w:footnoteRef/>
      </w:r>
      <w:r>
        <w:t xml:space="preserve"> Leden Marpaung, </w:t>
      </w:r>
      <w:r>
        <w:rPr>
          <w:rStyle w:val="Emphasis"/>
        </w:rPr>
        <w:t>Asas-Teori-</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xml:space="preserve">, 2009), </w:t>
      </w:r>
      <w:proofErr w:type="spellStart"/>
      <w:r>
        <w:t>hlm</w:t>
      </w:r>
      <w:proofErr w:type="spellEnd"/>
      <w:r>
        <w:t>. 58.</w:t>
      </w:r>
    </w:p>
  </w:footnote>
  <w:footnote w:id="14">
    <w:p w14:paraId="0B79AA5B" w14:textId="77777777" w:rsidR="00D6611B" w:rsidRDefault="0092034F">
      <w:pPr>
        <w:pStyle w:val="FootnoteText"/>
        <w:ind w:firstLine="709"/>
      </w:pPr>
      <w:r>
        <w:rPr>
          <w:rStyle w:val="FootnoteCharacters"/>
        </w:rPr>
        <w:footnoteRef/>
      </w:r>
      <w:r>
        <w:t xml:space="preserve"> </w:t>
      </w:r>
      <w:proofErr w:type="spellStart"/>
      <w:r>
        <w:t>Oemar</w:t>
      </w:r>
      <w:proofErr w:type="spellEnd"/>
      <w:r>
        <w:t xml:space="preserve"> Seno Adji, </w:t>
      </w:r>
      <w:r>
        <w:rPr>
          <w:rStyle w:val="Emphasis"/>
        </w:rPr>
        <w:t>Hukum Hakim Pidana</w:t>
      </w:r>
      <w:r>
        <w:t xml:space="preserve">, (Jakarta: </w:t>
      </w:r>
      <w:proofErr w:type="spellStart"/>
      <w:r>
        <w:t>Erlangga</w:t>
      </w:r>
      <w:proofErr w:type="spellEnd"/>
      <w:r>
        <w:t xml:space="preserve">, 1980), </w:t>
      </w:r>
      <w:proofErr w:type="spellStart"/>
      <w:r>
        <w:t>hlm</w:t>
      </w:r>
      <w:proofErr w:type="spellEnd"/>
      <w:r>
        <w:t>. 44.</w:t>
      </w:r>
    </w:p>
  </w:footnote>
  <w:footnote w:id="15">
    <w:p w14:paraId="558921C0" w14:textId="77777777" w:rsidR="00D6611B" w:rsidRDefault="0092034F">
      <w:pPr>
        <w:pStyle w:val="FootnoteText"/>
        <w:ind w:firstLine="709"/>
      </w:pPr>
      <w:r>
        <w:rPr>
          <w:rStyle w:val="FootnoteCharacters"/>
        </w:rPr>
        <w:footnoteRef/>
      </w:r>
      <w:r>
        <w:t xml:space="preserve"> </w:t>
      </w:r>
      <w:proofErr w:type="spellStart"/>
      <w:r>
        <w:t>Roeslan</w:t>
      </w:r>
      <w:proofErr w:type="spellEnd"/>
      <w:r>
        <w:t xml:space="preserve"> Saleh, </w:t>
      </w:r>
      <w:r>
        <w:rPr>
          <w:rStyle w:val="Emphasis"/>
        </w:rPr>
        <w:t>Segi Lain Hukum Pidana</w:t>
      </w:r>
      <w:r>
        <w:t xml:space="preserve">, (Jakarta: Ghalia Indonesia, 1984), </w:t>
      </w:r>
      <w:proofErr w:type="spellStart"/>
      <w:r>
        <w:t>hlm</w:t>
      </w:r>
      <w:proofErr w:type="spellEnd"/>
      <w:r>
        <w:t>. 33.</w:t>
      </w:r>
    </w:p>
  </w:footnote>
  <w:footnote w:id="16">
    <w:p w14:paraId="08E0A18A" w14:textId="77777777" w:rsidR="00D6611B" w:rsidRDefault="0092034F">
      <w:pPr>
        <w:pStyle w:val="FootnoteText"/>
        <w:ind w:firstLine="709"/>
        <w:jc w:val="both"/>
      </w:pPr>
      <w:r>
        <w:rPr>
          <w:rStyle w:val="FootnoteCharacters"/>
        </w:rPr>
        <w:footnoteRef/>
      </w:r>
      <w:r>
        <w:t xml:space="preserve"> </w:t>
      </w:r>
      <w:proofErr w:type="spellStart"/>
      <w:r>
        <w:t>Chairul</w:t>
      </w:r>
      <w:proofErr w:type="spellEnd"/>
      <w:r>
        <w:t xml:space="preserve"> Huda,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w:t>
      </w:r>
      <w:proofErr w:type="spellStart"/>
      <w:r>
        <w:rPr>
          <w:rStyle w:val="Emphasis"/>
        </w:rPr>
        <w:t>kepada</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xml:space="preserve">, 2006), </w:t>
      </w:r>
      <w:proofErr w:type="spellStart"/>
      <w:r>
        <w:t>hlm</w:t>
      </w:r>
      <w:proofErr w:type="spellEnd"/>
      <w:r>
        <w:t>. 89.</w:t>
      </w:r>
    </w:p>
  </w:footnote>
  <w:footnote w:id="17">
    <w:p w14:paraId="2CA1D5FE" w14:textId="77777777" w:rsidR="00D6611B" w:rsidRDefault="0092034F">
      <w:pPr>
        <w:pStyle w:val="FootnoteText"/>
        <w:ind w:firstLine="709"/>
        <w:jc w:val="both"/>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proofErr w:type="spellStart"/>
      <w:r>
        <w:rPr>
          <w:rStyle w:val="Emphasis"/>
        </w:rPr>
        <w:t>Kriminalisasi</w:t>
      </w:r>
      <w:proofErr w:type="spellEnd"/>
      <w:r>
        <w:rPr>
          <w:rStyle w:val="Emphasis"/>
        </w:rPr>
        <w:t xml:space="preserve">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(Bandung: Nusa Media, 2010), </w:t>
      </w:r>
      <w:proofErr w:type="spellStart"/>
      <w:r>
        <w:t>hlm</w:t>
      </w:r>
      <w:proofErr w:type="spellEnd"/>
      <w:r>
        <w:t>. 141.</w:t>
      </w:r>
    </w:p>
  </w:footnote>
  <w:footnote w:id="18">
    <w:p w14:paraId="579B4737" w14:textId="77777777" w:rsidR="00D6611B" w:rsidRDefault="0092034F">
      <w:pPr>
        <w:pStyle w:val="FootnoteText"/>
        <w:ind w:firstLine="709"/>
      </w:pPr>
      <w:r>
        <w:rPr>
          <w:rStyle w:val="FootnoteCharacters"/>
        </w:rPr>
        <w:footnoteRef/>
      </w:r>
      <w:r>
        <w:t xml:space="preserve"> Eddy O.S. Hiariej, </w:t>
      </w:r>
      <w:r>
        <w:rPr>
          <w:rStyle w:val="Emphasis"/>
        </w:rPr>
        <w:t xml:space="preserve">Teori &amp; Hukum </w:t>
      </w:r>
      <w:proofErr w:type="spellStart"/>
      <w:r>
        <w:rPr>
          <w:rStyle w:val="Emphasis"/>
        </w:rPr>
        <w:t>Pembuktian</w:t>
      </w:r>
      <w:proofErr w:type="spellEnd"/>
      <w:r>
        <w:t xml:space="preserve">, (Jakarta: </w:t>
      </w:r>
      <w:proofErr w:type="spellStart"/>
      <w:r>
        <w:t>Erlangga</w:t>
      </w:r>
      <w:proofErr w:type="spellEnd"/>
      <w:r>
        <w:t xml:space="preserve">, 2012), </w:t>
      </w:r>
      <w:proofErr w:type="spellStart"/>
      <w:r>
        <w:t>hlm</w:t>
      </w:r>
      <w:proofErr w:type="spellEnd"/>
      <w:r>
        <w:t>. 183.</w:t>
      </w:r>
    </w:p>
  </w:footnote>
  <w:footnote w:id="19">
    <w:p w14:paraId="7B07EFEE" w14:textId="77777777" w:rsidR="00D6611B" w:rsidRDefault="0092034F">
      <w:pPr>
        <w:pStyle w:val="FootnoteText"/>
        <w:ind w:firstLine="709"/>
      </w:pPr>
      <w:r>
        <w:rPr>
          <w:rStyle w:val="FootnoteCharacters"/>
        </w:rPr>
        <w:footnoteRef/>
      </w:r>
      <w:r>
        <w:t xml:space="preserve"> Mahrus Ali, </w:t>
      </w:r>
      <w:r>
        <w:rPr>
          <w:rStyle w:val="Emphasis"/>
        </w:rPr>
        <w:t xml:space="preserve">Dasar-Dasar Hukum </w:t>
      </w:r>
      <w:proofErr w:type="spellStart"/>
      <w:r>
        <w:rPr>
          <w:rStyle w:val="Emphasis"/>
        </w:rPr>
        <w:t>Pidana</w:t>
      </w:r>
      <w:proofErr w:type="spellEnd"/>
      <w:r>
        <w:t xml:space="preserve">, (Jakarta: Sinar </w:t>
      </w:r>
      <w:proofErr w:type="spellStart"/>
      <w:r>
        <w:t>Grafika</w:t>
      </w:r>
      <w:proofErr w:type="spellEnd"/>
      <w:r>
        <w:t xml:space="preserve">, 2011), </w:t>
      </w:r>
      <w:proofErr w:type="spellStart"/>
      <w:r>
        <w:t>hlm</w:t>
      </w:r>
      <w:proofErr w:type="spellEnd"/>
      <w:r>
        <w:t>. 103.</w:t>
      </w:r>
    </w:p>
  </w:footnote>
  <w:footnote w:id="20">
    <w:p w14:paraId="7A8C6D53" w14:textId="77777777" w:rsidR="00D6611B" w:rsidRDefault="0092034F">
      <w:pPr>
        <w:pStyle w:val="FootnoteText"/>
        <w:ind w:firstLine="709"/>
        <w:jc w:val="both"/>
      </w:pPr>
      <w:r>
        <w:rPr>
          <w:rStyle w:val="FootnoteCharacters"/>
        </w:rPr>
        <w:footnoteRef/>
      </w:r>
      <w:r>
        <w:t xml:space="preserve"> Adami Chazawi, </w:t>
      </w:r>
      <w:r>
        <w:rPr>
          <w:rStyle w:val="Emphasis"/>
        </w:rPr>
        <w:t xml:space="preserve">Pelajaran Hukum </w:t>
      </w:r>
      <w:proofErr w:type="spellStart"/>
      <w:r>
        <w:rPr>
          <w:rStyle w:val="Emphasis"/>
        </w:rPr>
        <w:t>Pidana</w:t>
      </w:r>
      <w:proofErr w:type="spellEnd"/>
      <w:r>
        <w:rPr>
          <w:rStyle w:val="Emphasis"/>
        </w:rPr>
        <w:t xml:space="preserve"> 2</w:t>
      </w:r>
      <w:r>
        <w:t xml:space="preserve">, (Jakarta: </w:t>
      </w:r>
      <w:proofErr w:type="spellStart"/>
      <w:r>
        <w:t>RajaGrafindo</w:t>
      </w:r>
      <w:proofErr w:type="spellEnd"/>
      <w:r>
        <w:t xml:space="preserve"> </w:t>
      </w:r>
      <w:proofErr w:type="spellStart"/>
      <w:r>
        <w:t>Persada</w:t>
      </w:r>
      <w:proofErr w:type="spellEnd"/>
      <w:r>
        <w:t xml:space="preserve">, 2002), </w:t>
      </w:r>
      <w:proofErr w:type="spellStart"/>
      <w:r>
        <w:t>hlm</w:t>
      </w:r>
      <w:proofErr w:type="spellEnd"/>
      <w:r>
        <w:t>. 44.</w:t>
      </w:r>
    </w:p>
  </w:footnote>
  <w:footnote w:id="21">
    <w:p w14:paraId="784B10B2" w14:textId="77777777" w:rsidR="00D6611B" w:rsidRDefault="0092034F">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171.</w:t>
      </w:r>
    </w:p>
  </w:footnote>
  <w:footnote w:id="22">
    <w:p w14:paraId="72CC6D21" w14:textId="77777777" w:rsidR="00D6611B" w:rsidRDefault="0092034F">
      <w:pPr>
        <w:pStyle w:val="FootnoteText"/>
        <w:ind w:firstLine="709"/>
      </w:pPr>
      <w:r>
        <w:rPr>
          <w:rStyle w:val="FootnoteCharacters"/>
        </w:rPr>
        <w:footnoteRef/>
      </w:r>
      <w:r>
        <w:t xml:space="preserve"> R. Sugandhi, </w:t>
      </w:r>
      <w:r>
        <w:rPr>
          <w:rStyle w:val="Emphasis"/>
        </w:rPr>
        <w:t xml:space="preserve">KUHP dan </w:t>
      </w:r>
      <w:proofErr w:type="spellStart"/>
      <w:r>
        <w:rPr>
          <w:rStyle w:val="Emphasis"/>
        </w:rPr>
        <w:t>Penjelasannya</w:t>
      </w:r>
      <w:proofErr w:type="spellEnd"/>
      <w:r>
        <w:t xml:space="preserve">, (Surabaya: Usaha Nasional, 1981), </w:t>
      </w:r>
      <w:proofErr w:type="spellStart"/>
      <w:r>
        <w:t>hlm</w:t>
      </w:r>
      <w:proofErr w:type="spellEnd"/>
      <w:r>
        <w:t>. 302.</w:t>
      </w:r>
    </w:p>
  </w:footnote>
  <w:footnote w:id="23">
    <w:p w14:paraId="27837D8E" w14:textId="77777777" w:rsidR="00D6611B" w:rsidRDefault="0092034F">
      <w:pPr>
        <w:pStyle w:val="FootnoteText"/>
        <w:ind w:firstLine="709"/>
        <w:jc w:val="both"/>
      </w:pPr>
      <w:r>
        <w:rPr>
          <w:rStyle w:val="FootnoteCharacters"/>
        </w:rPr>
        <w:footnoteRef/>
      </w:r>
      <w:r>
        <w:t xml:space="preserve"> Adami Chazawi,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Tubuh</w:t>
      </w:r>
      <w:proofErr w:type="spellEnd"/>
      <w:r>
        <w:rPr>
          <w:rStyle w:val="Emphasis"/>
        </w:rPr>
        <w:t xml:space="preserve"> dan Nyawa</w:t>
      </w:r>
      <w:r>
        <w:t xml:space="preserve">, (Jakarta: </w:t>
      </w:r>
      <w:proofErr w:type="spellStart"/>
      <w:r>
        <w:t>RajaGrafindo</w:t>
      </w:r>
      <w:proofErr w:type="spellEnd"/>
      <w:r>
        <w:t xml:space="preserve"> </w:t>
      </w:r>
      <w:proofErr w:type="spellStart"/>
      <w:r>
        <w:t>Persada</w:t>
      </w:r>
      <w:proofErr w:type="spellEnd"/>
      <w:r>
        <w:t xml:space="preserve">, 2002), </w:t>
      </w:r>
      <w:proofErr w:type="spellStart"/>
      <w:r>
        <w:t>hlm</w:t>
      </w:r>
      <w:proofErr w:type="spellEnd"/>
      <w:r>
        <w:t>. 57.</w:t>
      </w:r>
    </w:p>
  </w:footnote>
  <w:footnote w:id="24">
    <w:p w14:paraId="7A748015" w14:textId="77777777" w:rsidR="00D6611B" w:rsidRDefault="0092034F">
      <w:pPr>
        <w:pStyle w:val="FootnoteText"/>
        <w:ind w:firstLine="709"/>
      </w:pPr>
      <w:r>
        <w:rPr>
          <w:rStyle w:val="FootnoteCharacters"/>
        </w:rPr>
        <w:footnoteRef/>
      </w:r>
      <w:r>
        <w:t xml:space="preserve"> </w:t>
      </w:r>
      <w:proofErr w:type="spellStart"/>
      <w:r>
        <w:t>Oemar</w:t>
      </w:r>
      <w:proofErr w:type="spellEnd"/>
      <w:r>
        <w:t xml:space="preserve"> Seno Adji, </w:t>
      </w:r>
      <w:r>
        <w:rPr>
          <w:rStyle w:val="Emphasis"/>
        </w:rPr>
        <w:t>Hukum Hakim Pidana</w:t>
      </w:r>
      <w:r>
        <w:t xml:space="preserve">, (Jakarta: </w:t>
      </w:r>
      <w:proofErr w:type="spellStart"/>
      <w:r>
        <w:t>Erlangga</w:t>
      </w:r>
      <w:proofErr w:type="spellEnd"/>
      <w:r>
        <w:t xml:space="preserve">, 1980), </w:t>
      </w:r>
      <w:proofErr w:type="spellStart"/>
      <w:r>
        <w:t>hlm</w:t>
      </w:r>
      <w:proofErr w:type="spellEnd"/>
      <w:r>
        <w:t>. 84.</w:t>
      </w:r>
    </w:p>
  </w:footnote>
  <w:footnote w:id="25">
    <w:p w14:paraId="62629B1D" w14:textId="77777777" w:rsidR="00D6611B" w:rsidRDefault="0092034F">
      <w:pPr>
        <w:pStyle w:val="FootnoteText"/>
        <w:ind w:firstLine="709"/>
      </w:pPr>
      <w:r>
        <w:rPr>
          <w:rStyle w:val="FootnoteCharacters"/>
        </w:rPr>
        <w:footnoteRef/>
      </w:r>
      <w:r>
        <w:t xml:space="preserve"> Andi Hamzah, </w:t>
      </w:r>
      <w:proofErr w:type="spellStart"/>
      <w:r>
        <w:rPr>
          <w:rStyle w:val="Emphasis"/>
        </w:rPr>
        <w:t>Terminologi</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xml:space="preserve">, 2008), </w:t>
      </w:r>
      <w:proofErr w:type="spellStart"/>
      <w:r>
        <w:t>hlm</w:t>
      </w:r>
      <w:proofErr w:type="spellEnd"/>
      <w:r>
        <w:t>. 45.</w:t>
      </w:r>
    </w:p>
  </w:footnote>
  <w:footnote w:id="26">
    <w:p w14:paraId="7BE5A08A" w14:textId="77777777" w:rsidR="00D6611B" w:rsidRDefault="0092034F">
      <w:pPr>
        <w:pStyle w:val="FootnoteText"/>
        <w:ind w:firstLine="709"/>
      </w:pPr>
      <w:r>
        <w:rPr>
          <w:rStyle w:val="FootnoteCharacters"/>
        </w:rPr>
        <w:footnoteRef/>
      </w:r>
      <w:r>
        <w:t xml:space="preserve"> Pasal </w:t>
      </w:r>
      <w:r>
        <w:rPr>
          <w:lang w:val="id-ID"/>
        </w:rPr>
        <w:t>466</w:t>
      </w:r>
      <w:r>
        <w:t xml:space="preserve">, Kitab </w:t>
      </w:r>
      <w:proofErr w:type="spellStart"/>
      <w:r>
        <w:t>Undang-Undang</w:t>
      </w:r>
      <w:proofErr w:type="spellEnd"/>
      <w:r>
        <w:t xml:space="preserve"> Hukum </w:t>
      </w:r>
      <w:proofErr w:type="spellStart"/>
      <w:r>
        <w:t>Pidana</w:t>
      </w:r>
      <w:proofErr w:type="spellEnd"/>
      <w:r>
        <w:t>.</w:t>
      </w:r>
    </w:p>
  </w:footnote>
  <w:footnote w:id="27">
    <w:p w14:paraId="334CDBC0" w14:textId="77777777" w:rsidR="00D6611B" w:rsidRDefault="0092034F">
      <w:pPr>
        <w:pStyle w:val="FootnoteText"/>
        <w:ind w:firstLine="709"/>
      </w:pPr>
      <w:r>
        <w:rPr>
          <w:rStyle w:val="FootnoteCharacters"/>
        </w:rPr>
        <w:footnoteRef/>
      </w:r>
      <w:r>
        <w:t xml:space="preserve"> Pasal </w:t>
      </w:r>
      <w:r>
        <w:rPr>
          <w:lang w:val="id-ID"/>
        </w:rPr>
        <w:t>467</w:t>
      </w:r>
      <w:r>
        <w:t xml:space="preserve"> </w:t>
      </w:r>
      <w:proofErr w:type="spellStart"/>
      <w:r>
        <w:t>sampai</w:t>
      </w:r>
      <w:proofErr w:type="spellEnd"/>
      <w:r>
        <w:t xml:space="preserve"> </w:t>
      </w:r>
      <w:proofErr w:type="spellStart"/>
      <w:r>
        <w:t>dengan</w:t>
      </w:r>
      <w:proofErr w:type="spellEnd"/>
      <w:r>
        <w:t xml:space="preserve"> Pasal </w:t>
      </w:r>
      <w:r>
        <w:rPr>
          <w:lang w:val="id-ID"/>
        </w:rPr>
        <w:t>471</w:t>
      </w:r>
      <w:r>
        <w:t xml:space="preserve">, Kitab </w:t>
      </w:r>
      <w:proofErr w:type="spellStart"/>
      <w:r>
        <w:t>Undang-Undang</w:t>
      </w:r>
      <w:proofErr w:type="spellEnd"/>
      <w:r>
        <w:t xml:space="preserve"> Hukum </w:t>
      </w:r>
      <w:proofErr w:type="spellStart"/>
      <w:r>
        <w:t>Pidana</w:t>
      </w:r>
      <w:proofErr w:type="spellEnd"/>
      <w:r>
        <w:t>.</w:t>
      </w:r>
    </w:p>
  </w:footnote>
  <w:footnote w:id="28">
    <w:p w14:paraId="269713EB" w14:textId="77777777" w:rsidR="00D6611B" w:rsidRDefault="0092034F">
      <w:pPr>
        <w:pStyle w:val="FootnoteText"/>
        <w:ind w:firstLine="709"/>
      </w:pPr>
      <w:r>
        <w:rPr>
          <w:rStyle w:val="FootnoteCharacters"/>
        </w:rPr>
        <w:footnoteRef/>
      </w:r>
      <w:r>
        <w:t xml:space="preserve">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29">
    <w:p w14:paraId="0CE3D692" w14:textId="77777777" w:rsidR="00D6611B" w:rsidRDefault="0092034F">
      <w:pPr>
        <w:pStyle w:val="FootnoteText"/>
        <w:ind w:firstLine="709"/>
      </w:pPr>
      <w:r>
        <w:rPr>
          <w:rStyle w:val="FootnoteCharacters"/>
        </w:rPr>
        <w:footnoteRef/>
      </w:r>
      <w:r>
        <w:t xml:space="preserve"> Pasal 184, Kitab </w:t>
      </w:r>
      <w:proofErr w:type="spellStart"/>
      <w:r>
        <w:t>Undang-Undang</w:t>
      </w:r>
      <w:proofErr w:type="spellEnd"/>
      <w:r>
        <w:t xml:space="preserve"> Hukum Acara </w:t>
      </w:r>
      <w:proofErr w:type="spellStart"/>
      <w:r>
        <w:t>Pidana</w:t>
      </w:r>
      <w:proofErr w:type="spellEnd"/>
      <w:r>
        <w:t>.</w:t>
      </w:r>
    </w:p>
  </w:footnote>
  <w:footnote w:id="30">
    <w:p w14:paraId="1BAB5B5C" w14:textId="77777777" w:rsidR="00D6611B" w:rsidRDefault="0092034F">
      <w:pPr>
        <w:pStyle w:val="FootnoteText"/>
        <w:ind w:firstLine="709"/>
      </w:pPr>
      <w:r>
        <w:rPr>
          <w:rStyle w:val="FootnoteCharacters"/>
        </w:rPr>
        <w:footnoteRef/>
      </w:r>
      <w:r>
        <w:t xml:space="preserve"> Pasal 28G </w:t>
      </w:r>
      <w:proofErr w:type="spellStart"/>
      <w:r>
        <w:t>ayat</w:t>
      </w:r>
      <w:proofErr w:type="spellEnd"/>
      <w:r>
        <w:t xml:space="preserve"> (1), </w:t>
      </w:r>
      <w:proofErr w:type="spellStart"/>
      <w:r>
        <w:t>Undang-Undang</w:t>
      </w:r>
      <w:proofErr w:type="spellEnd"/>
      <w:r>
        <w:t xml:space="preserve"> Dasar Negara Republik Indonesia </w:t>
      </w:r>
      <w:proofErr w:type="spellStart"/>
      <w:r>
        <w:t>Tahun</w:t>
      </w:r>
      <w:proofErr w:type="spellEnd"/>
      <w:r>
        <w:t xml:space="preserve"> 1945.</w:t>
      </w:r>
    </w:p>
  </w:footnote>
  <w:footnote w:id="31">
    <w:p w14:paraId="17DC945E" w14:textId="77777777" w:rsidR="00D6611B" w:rsidRDefault="0092034F">
      <w:pPr>
        <w:pStyle w:val="FootnoteText"/>
        <w:ind w:firstLine="709"/>
        <w:jc w:val="both"/>
      </w:pPr>
      <w:r>
        <w:rPr>
          <w:rStyle w:val="FootnoteCharacters"/>
        </w:rPr>
        <w:footnoteRef/>
      </w:r>
      <w:r>
        <w:t xml:space="preserve"> H.A.K. Moch. Anwar, </w:t>
      </w:r>
      <w:r>
        <w:rPr>
          <w:rStyle w:val="Emphasis"/>
        </w:rPr>
        <w:t xml:space="preserve">Hukum </w:t>
      </w:r>
      <w:proofErr w:type="spellStart"/>
      <w:r>
        <w:rPr>
          <w:rStyle w:val="Emphasis"/>
        </w:rPr>
        <w:t>Pidana</w:t>
      </w:r>
      <w:proofErr w:type="spellEnd"/>
      <w:r>
        <w:rPr>
          <w:rStyle w:val="Emphasis"/>
        </w:rPr>
        <w:t xml:space="preserve"> Bagian Khusus (KUHP </w:t>
      </w:r>
      <w:proofErr w:type="spellStart"/>
      <w:r>
        <w:rPr>
          <w:rStyle w:val="Emphasis"/>
        </w:rPr>
        <w:t>Buku</w:t>
      </w:r>
      <w:proofErr w:type="spellEnd"/>
      <w:r>
        <w:rPr>
          <w:rStyle w:val="Emphasis"/>
        </w:rPr>
        <w:t xml:space="preserve"> II)</w:t>
      </w:r>
      <w:r>
        <w:t xml:space="preserve">, (Bandung: Alumni, 1982), </w:t>
      </w:r>
      <w:proofErr w:type="spellStart"/>
      <w:r>
        <w:t>hlm</w:t>
      </w:r>
      <w:proofErr w:type="spellEnd"/>
      <w:r>
        <w:t>. 214.</w:t>
      </w:r>
    </w:p>
  </w:footnote>
  <w:footnote w:id="32">
    <w:p w14:paraId="0434999E" w14:textId="77777777" w:rsidR="00D6611B" w:rsidRDefault="0092034F">
      <w:pPr>
        <w:pStyle w:val="FootnoteText"/>
        <w:ind w:firstLine="709"/>
        <w:jc w:val="both"/>
      </w:pPr>
      <w:r>
        <w:rPr>
          <w:rStyle w:val="FootnoteCharacters"/>
        </w:rPr>
        <w:footnoteRef/>
      </w:r>
      <w:r>
        <w:t xml:space="preserve"> P.A.F. </w:t>
      </w:r>
      <w:proofErr w:type="spellStart"/>
      <w:r>
        <w:t>Lamintang</w:t>
      </w:r>
      <w:proofErr w:type="spellEnd"/>
      <w:r>
        <w:t xml:space="preserve">, </w:t>
      </w:r>
      <w:proofErr w:type="spellStart"/>
      <w:r>
        <w:rPr>
          <w:rStyle w:val="Emphasis"/>
        </w:rPr>
        <w:t>Delik-Delik</w:t>
      </w:r>
      <w:proofErr w:type="spellEnd"/>
      <w:r>
        <w:rPr>
          <w:rStyle w:val="Emphasis"/>
        </w:rPr>
        <w:t xml:space="preserve"> Khusus: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Nyawa, </w:t>
      </w:r>
      <w:proofErr w:type="spellStart"/>
      <w:r>
        <w:rPr>
          <w:rStyle w:val="Emphasis"/>
        </w:rPr>
        <w:t>Tubuh</w:t>
      </w:r>
      <w:proofErr w:type="spellEnd"/>
      <w:r>
        <w:rPr>
          <w:rStyle w:val="Emphasis"/>
        </w:rPr>
        <w:t>, dan Kesehatan</w:t>
      </w:r>
      <w:r>
        <w:t xml:space="preserve">, (Bandung: Bina Cipta, 1986), </w:t>
      </w:r>
      <w:proofErr w:type="spellStart"/>
      <w:r>
        <w:t>hlm</w:t>
      </w:r>
      <w:proofErr w:type="spellEnd"/>
      <w:r>
        <w:t>. 201.</w:t>
      </w:r>
    </w:p>
  </w:footnote>
  <w:footnote w:id="33">
    <w:p w14:paraId="70F5F01A" w14:textId="77777777" w:rsidR="00D6611B" w:rsidRDefault="0092034F">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w:t>
      </w:r>
      <w:r>
        <w:t xml:space="preserve">, (Jakarta: Aksara Baru, 1983), </w:t>
      </w:r>
      <w:proofErr w:type="spellStart"/>
      <w:r>
        <w:t>hlm</w:t>
      </w:r>
      <w:proofErr w:type="spellEnd"/>
      <w:r>
        <w:t>. 114.</w:t>
      </w:r>
    </w:p>
  </w:footnote>
  <w:footnote w:id="34">
    <w:p w14:paraId="26090E02" w14:textId="77777777" w:rsidR="00D6611B" w:rsidRDefault="0092034F">
      <w:pPr>
        <w:pStyle w:val="FootnoteText"/>
        <w:ind w:firstLine="709"/>
        <w:jc w:val="both"/>
      </w:pPr>
      <w:r>
        <w:rPr>
          <w:rStyle w:val="FootnoteCharacters"/>
        </w:rPr>
        <w:footnoteRef/>
      </w:r>
      <w:r>
        <w:t xml:space="preserve"> </w:t>
      </w:r>
      <w:proofErr w:type="spellStart"/>
      <w:r>
        <w:t>Wirjono</w:t>
      </w:r>
      <w:proofErr w:type="spellEnd"/>
      <w:r>
        <w:t xml:space="preserve"> </w:t>
      </w:r>
      <w:proofErr w:type="spellStart"/>
      <w:r>
        <w:t>Prodjodikoro</w:t>
      </w:r>
      <w:proofErr w:type="spellEnd"/>
      <w:r>
        <w:t xml:space="preserve">, </w:t>
      </w:r>
      <w:proofErr w:type="spellStart"/>
      <w:r>
        <w:rPr>
          <w:rStyle w:val="Emphasis"/>
        </w:rPr>
        <w:t>Tindak-Tindak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Tertentu</w:t>
      </w:r>
      <w:proofErr w:type="spellEnd"/>
      <w:r>
        <w:rPr>
          <w:rStyle w:val="Emphasis"/>
        </w:rPr>
        <w:t xml:space="preserve"> di Indonesia</w:t>
      </w:r>
      <w:r>
        <w:t xml:space="preserve">, (Bandung: Refika </w:t>
      </w:r>
      <w:proofErr w:type="spellStart"/>
      <w:r>
        <w:t>Aditama</w:t>
      </w:r>
      <w:proofErr w:type="spellEnd"/>
      <w:r>
        <w:t xml:space="preserve">, 2008), </w:t>
      </w:r>
      <w:proofErr w:type="spellStart"/>
      <w:r>
        <w:t>hlm</w:t>
      </w:r>
      <w:proofErr w:type="spellEnd"/>
      <w:r>
        <w:t>. 91.</w:t>
      </w:r>
    </w:p>
  </w:footnote>
  <w:footnote w:id="35">
    <w:p w14:paraId="446B203E" w14:textId="77777777" w:rsidR="00D6611B" w:rsidRDefault="0092034F">
      <w:pPr>
        <w:pStyle w:val="FootnoteText"/>
        <w:ind w:firstLine="709"/>
        <w:jc w:val="both"/>
      </w:pPr>
      <w:r>
        <w:rPr>
          <w:rStyle w:val="FootnoteCharacters"/>
        </w:rPr>
        <w:footnoteRef/>
      </w:r>
      <w:r>
        <w:t xml:space="preserve"> Eddy O.S. Hiariej, </w:t>
      </w:r>
      <w:r>
        <w:rPr>
          <w:rStyle w:val="Emphasis"/>
        </w:rPr>
        <w:t xml:space="preserve">Teori &amp; Hukum </w:t>
      </w:r>
      <w:proofErr w:type="spellStart"/>
      <w:r>
        <w:rPr>
          <w:rStyle w:val="Emphasis"/>
        </w:rPr>
        <w:t>Pembuktian</w:t>
      </w:r>
      <w:proofErr w:type="spellEnd"/>
      <w:r>
        <w:t xml:space="preserve">, (Jakarta: </w:t>
      </w:r>
      <w:proofErr w:type="spellStart"/>
      <w:r>
        <w:t>Erlangga</w:t>
      </w:r>
      <w:proofErr w:type="spellEnd"/>
      <w:r>
        <w:t xml:space="preserve">, 2012), </w:t>
      </w:r>
      <w:proofErr w:type="spellStart"/>
      <w:r>
        <w:t>hlm</w:t>
      </w:r>
      <w:proofErr w:type="spellEnd"/>
      <w:r>
        <w:t>. 187.</w:t>
      </w:r>
    </w:p>
  </w:footnote>
  <w:footnote w:id="36">
    <w:p w14:paraId="5CC0C93B" w14:textId="77777777" w:rsidR="00D6611B" w:rsidRDefault="0092034F">
      <w:pPr>
        <w:pStyle w:val="FootnoteText"/>
        <w:ind w:firstLine="709"/>
      </w:pPr>
      <w:r>
        <w:rPr>
          <w:rStyle w:val="FootnoteCharacters"/>
        </w:rPr>
        <w:footnoteRef/>
      </w:r>
      <w:r>
        <w:t xml:space="preserve"> Pasal 466, Kitab </w:t>
      </w:r>
      <w:proofErr w:type="spellStart"/>
      <w:r>
        <w:t>Undang-Undang</w:t>
      </w:r>
      <w:proofErr w:type="spellEnd"/>
      <w:r>
        <w:t xml:space="preserve"> Hukum </w:t>
      </w:r>
      <w:proofErr w:type="spellStart"/>
      <w:r>
        <w:t>Pidana</w:t>
      </w:r>
      <w:proofErr w:type="spellEnd"/>
      <w:r>
        <w:t>.</w:t>
      </w:r>
    </w:p>
  </w:footnote>
  <w:footnote w:id="37">
    <w:p w14:paraId="6AF4CD0C" w14:textId="77777777" w:rsidR="00D6611B" w:rsidRDefault="0092034F">
      <w:pPr>
        <w:pStyle w:val="FootnoteText"/>
        <w:ind w:firstLine="709"/>
      </w:pPr>
      <w:r>
        <w:rPr>
          <w:rStyle w:val="FootnoteCharacters"/>
        </w:rPr>
        <w:footnoteRef/>
      </w:r>
      <w:r>
        <w:t xml:space="preserve"> Pasal </w:t>
      </w:r>
      <w:r>
        <w:rPr>
          <w:lang w:val="id-ID"/>
        </w:rPr>
        <w:t>471</w:t>
      </w:r>
      <w:r>
        <w:t xml:space="preserve">, Kitab </w:t>
      </w:r>
      <w:proofErr w:type="spellStart"/>
      <w:r>
        <w:t>Undang-Undang</w:t>
      </w:r>
      <w:proofErr w:type="spellEnd"/>
      <w:r>
        <w:t xml:space="preserve"> Hukum </w:t>
      </w:r>
      <w:proofErr w:type="spellStart"/>
      <w:r>
        <w:t>Pidana</w:t>
      </w:r>
      <w:proofErr w:type="spellEnd"/>
      <w:r>
        <w:t>.</w:t>
      </w:r>
    </w:p>
  </w:footnote>
  <w:footnote w:id="38">
    <w:p w14:paraId="4C6B45C9" w14:textId="77777777" w:rsidR="00D6611B" w:rsidRDefault="0092034F">
      <w:pPr>
        <w:pStyle w:val="FootnoteText"/>
        <w:ind w:firstLine="709"/>
      </w:pPr>
      <w:r>
        <w:rPr>
          <w:rStyle w:val="FootnoteCharacters"/>
        </w:rPr>
        <w:footnoteRef/>
      </w:r>
      <w:r>
        <w:t xml:space="preserve"> Pasal </w:t>
      </w:r>
      <w:r>
        <w:rPr>
          <w:lang w:val="id-ID"/>
        </w:rPr>
        <w:t>468</w:t>
      </w:r>
      <w:r>
        <w:t xml:space="preserve">, Kitab </w:t>
      </w:r>
      <w:proofErr w:type="spellStart"/>
      <w:r>
        <w:t>Undang-Undang</w:t>
      </w:r>
      <w:proofErr w:type="spellEnd"/>
      <w:r>
        <w:t xml:space="preserve"> Hukum </w:t>
      </w:r>
      <w:proofErr w:type="spellStart"/>
      <w:r>
        <w:t>Pidana</w:t>
      </w:r>
      <w:proofErr w:type="spellEnd"/>
      <w:r>
        <w:t>.</w:t>
      </w:r>
    </w:p>
  </w:footnote>
  <w:footnote w:id="39">
    <w:p w14:paraId="4A6116BF" w14:textId="77777777" w:rsidR="00D6611B" w:rsidRDefault="0092034F">
      <w:pPr>
        <w:pStyle w:val="FootnoteText"/>
        <w:ind w:firstLine="709"/>
      </w:pPr>
      <w:r>
        <w:rPr>
          <w:rStyle w:val="FootnoteCharacters"/>
        </w:rPr>
        <w:footnoteRef/>
      </w:r>
      <w:r>
        <w:t xml:space="preserve"> Pasal </w:t>
      </w:r>
      <w:r>
        <w:rPr>
          <w:lang w:val="id-ID"/>
        </w:rPr>
        <w:t>467</w:t>
      </w:r>
      <w:r>
        <w:t xml:space="preserve">, Kitab </w:t>
      </w:r>
      <w:proofErr w:type="spellStart"/>
      <w:r>
        <w:t>Undang-Undang</w:t>
      </w:r>
      <w:proofErr w:type="spellEnd"/>
      <w:r>
        <w:t xml:space="preserve"> Hukum </w:t>
      </w:r>
      <w:proofErr w:type="spellStart"/>
      <w:r>
        <w:t>Pidana</w:t>
      </w:r>
      <w:proofErr w:type="spellEnd"/>
      <w:r>
        <w:t>.</w:t>
      </w:r>
    </w:p>
  </w:footnote>
  <w:footnote w:id="40">
    <w:p w14:paraId="09B2785A" w14:textId="77777777" w:rsidR="00D6611B" w:rsidRDefault="0092034F">
      <w:pPr>
        <w:pStyle w:val="FootnoteText"/>
        <w:ind w:firstLine="700"/>
      </w:pPr>
      <w:r>
        <w:rPr>
          <w:rStyle w:val="FootnoteCharacters"/>
        </w:rPr>
        <w:footnoteRef/>
      </w:r>
      <w:r>
        <w:t xml:space="preserve"> Pasal </w:t>
      </w:r>
      <w:r>
        <w:rPr>
          <w:lang w:val="id-ID"/>
        </w:rPr>
        <w:t>471</w:t>
      </w:r>
      <w:r>
        <w:t xml:space="preserve">, Kitab </w:t>
      </w:r>
      <w:proofErr w:type="spellStart"/>
      <w:r>
        <w:t>Undang-Undang</w:t>
      </w:r>
      <w:proofErr w:type="spellEnd"/>
      <w:r>
        <w:t xml:space="preserve"> Hukum </w:t>
      </w:r>
      <w:proofErr w:type="spellStart"/>
      <w:r>
        <w:t>Pidana</w:t>
      </w:r>
      <w:proofErr w:type="spellEnd"/>
      <w:r>
        <w:t>.</w:t>
      </w:r>
    </w:p>
  </w:footnote>
  <w:footnote w:id="41">
    <w:p w14:paraId="1EBFDBCE" w14:textId="77777777" w:rsidR="00D6611B" w:rsidRDefault="0092034F">
      <w:pPr>
        <w:pStyle w:val="FootnoteText"/>
        <w:ind w:firstLine="709"/>
        <w:jc w:val="both"/>
      </w:pPr>
      <w:r>
        <w:rPr>
          <w:rStyle w:val="FootnoteCharacters"/>
        </w:rPr>
        <w:footnoteRef/>
      </w:r>
      <w:r>
        <w:t xml:space="preserve"> </w:t>
      </w:r>
      <w:proofErr w:type="spellStart"/>
      <w:r>
        <w:t>Ninik</w:t>
      </w:r>
      <w:proofErr w:type="spellEnd"/>
      <w:r>
        <w:t xml:space="preserve"> Rahayu, </w:t>
      </w:r>
      <w:r>
        <w:rPr>
          <w:rStyle w:val="Emphasis"/>
        </w:rPr>
        <w:t xml:space="preserve">Perempuan dan Hukum: </w:t>
      </w:r>
      <w:proofErr w:type="spellStart"/>
      <w:r>
        <w:rPr>
          <w:rStyle w:val="Emphasis"/>
        </w:rPr>
        <w:t>Menuju</w:t>
      </w:r>
      <w:proofErr w:type="spellEnd"/>
      <w:r>
        <w:rPr>
          <w:rStyle w:val="Emphasis"/>
        </w:rPr>
        <w:t xml:space="preserve"> Hukum yang </w:t>
      </w:r>
      <w:proofErr w:type="spellStart"/>
      <w:r>
        <w:rPr>
          <w:rStyle w:val="Emphasis"/>
        </w:rPr>
        <w:t>Berperspektif</w:t>
      </w:r>
      <w:proofErr w:type="spellEnd"/>
      <w:r>
        <w:rPr>
          <w:rStyle w:val="Emphasis"/>
        </w:rPr>
        <w:t xml:space="preserve"> </w:t>
      </w:r>
      <w:proofErr w:type="spellStart"/>
      <w:r>
        <w:rPr>
          <w:rStyle w:val="Emphasis"/>
        </w:rPr>
        <w:t>Kesetaraan</w:t>
      </w:r>
      <w:proofErr w:type="spellEnd"/>
      <w:r>
        <w:rPr>
          <w:rStyle w:val="Emphasis"/>
        </w:rPr>
        <w:t xml:space="preserve"> dan Keadilan</w:t>
      </w:r>
      <w:r>
        <w:t xml:space="preserve">, (Jakarta: Yayasan Pustaka </w:t>
      </w:r>
      <w:proofErr w:type="spellStart"/>
      <w:r>
        <w:t>Obor</w:t>
      </w:r>
      <w:proofErr w:type="spellEnd"/>
      <w:r>
        <w:t xml:space="preserve"> Indonesia, 2020), </w:t>
      </w:r>
      <w:proofErr w:type="spellStart"/>
      <w:r>
        <w:t>hlm</w:t>
      </w:r>
      <w:proofErr w:type="spellEnd"/>
      <w:r>
        <w:t>. 27.</w:t>
      </w:r>
    </w:p>
  </w:footnote>
  <w:footnote w:id="42">
    <w:p w14:paraId="41602FC6" w14:textId="77777777" w:rsidR="00D6611B" w:rsidRDefault="0092034F">
      <w:pPr>
        <w:pStyle w:val="FootnoteText"/>
        <w:ind w:firstLine="709"/>
        <w:jc w:val="both"/>
      </w:pPr>
      <w:r>
        <w:rPr>
          <w:rStyle w:val="FootnoteCharacters"/>
        </w:rPr>
        <w:footnoteRef/>
      </w:r>
      <w:r>
        <w:t xml:space="preserve"> Abdul Wahid dan Muhammad Irfan, </w:t>
      </w:r>
      <w:proofErr w:type="spellStart"/>
      <w:r>
        <w:rPr>
          <w:rStyle w:val="Emphasis"/>
        </w:rPr>
        <w:t>Perlindungan</w:t>
      </w:r>
      <w:proofErr w:type="spellEnd"/>
      <w:r>
        <w:rPr>
          <w:rStyle w:val="Emphasis"/>
        </w:rPr>
        <w:t xml:space="preserve"> </w:t>
      </w:r>
      <w:proofErr w:type="spellStart"/>
      <w:r>
        <w:rPr>
          <w:rStyle w:val="Emphasis"/>
        </w:rPr>
        <w:t>terhadap</w:t>
      </w:r>
      <w:proofErr w:type="spellEnd"/>
      <w:r>
        <w:rPr>
          <w:rStyle w:val="Emphasis"/>
        </w:rPr>
        <w:t xml:space="preserve"> Korban </w:t>
      </w:r>
      <w:proofErr w:type="spellStart"/>
      <w:r>
        <w:rPr>
          <w:rStyle w:val="Emphasis"/>
        </w:rPr>
        <w:t>Kekerasan</w:t>
      </w:r>
      <w:proofErr w:type="spellEnd"/>
      <w:r>
        <w:rPr>
          <w:rStyle w:val="Emphasis"/>
        </w:rPr>
        <w:t xml:space="preserve"> </w:t>
      </w:r>
      <w:proofErr w:type="spellStart"/>
      <w:r>
        <w:rPr>
          <w:rStyle w:val="Emphasis"/>
        </w:rPr>
        <w:t>Seksual</w:t>
      </w:r>
      <w:proofErr w:type="spellEnd"/>
      <w:r>
        <w:rPr>
          <w:rStyle w:val="Emphasis"/>
        </w:rPr>
        <w:t xml:space="preserve">: </w:t>
      </w:r>
      <w:proofErr w:type="spellStart"/>
      <w:r>
        <w:rPr>
          <w:rStyle w:val="Emphasis"/>
        </w:rPr>
        <w:t>Advokasi</w:t>
      </w:r>
      <w:proofErr w:type="spellEnd"/>
      <w:r>
        <w:rPr>
          <w:rStyle w:val="Emphasis"/>
        </w:rPr>
        <w:t xml:space="preserve"> </w:t>
      </w:r>
      <w:proofErr w:type="spellStart"/>
      <w:r>
        <w:rPr>
          <w:rStyle w:val="Emphasis"/>
        </w:rPr>
        <w:t>atas</w:t>
      </w:r>
      <w:proofErr w:type="spellEnd"/>
      <w:r>
        <w:rPr>
          <w:rStyle w:val="Emphasis"/>
        </w:rPr>
        <w:t xml:space="preserve"> Hak </w:t>
      </w:r>
      <w:proofErr w:type="spellStart"/>
      <w:r>
        <w:rPr>
          <w:rStyle w:val="Emphasis"/>
        </w:rPr>
        <w:t>Asasi</w:t>
      </w:r>
      <w:proofErr w:type="spellEnd"/>
      <w:r>
        <w:rPr>
          <w:rStyle w:val="Emphasis"/>
        </w:rPr>
        <w:t xml:space="preserve"> Perempuan</w:t>
      </w:r>
      <w:r>
        <w:t xml:space="preserve">, (Bandung: Refika </w:t>
      </w:r>
      <w:proofErr w:type="spellStart"/>
      <w:r>
        <w:t>Aditama</w:t>
      </w:r>
      <w:proofErr w:type="spellEnd"/>
      <w:r>
        <w:t xml:space="preserve">, 2011), </w:t>
      </w:r>
      <w:proofErr w:type="spellStart"/>
      <w:r>
        <w:t>hlm</w:t>
      </w:r>
      <w:proofErr w:type="spellEnd"/>
      <w:r>
        <w:t>. 41.</w:t>
      </w:r>
    </w:p>
  </w:footnote>
  <w:footnote w:id="43">
    <w:p w14:paraId="221592C7" w14:textId="77777777" w:rsidR="00D6611B" w:rsidRDefault="0092034F">
      <w:pPr>
        <w:pStyle w:val="FootnoteText"/>
        <w:ind w:firstLine="709"/>
      </w:pPr>
      <w:r>
        <w:rPr>
          <w:rStyle w:val="FootnoteCharacters"/>
        </w:rPr>
        <w:footnoteRef/>
      </w:r>
      <w:r>
        <w:t xml:space="preserve"> </w:t>
      </w:r>
      <w:proofErr w:type="spellStart"/>
      <w:r>
        <w:t>Satjipto</w:t>
      </w:r>
      <w:proofErr w:type="spellEnd"/>
      <w:r>
        <w:t xml:space="preserve"> Rahardjo, </w:t>
      </w:r>
      <w:proofErr w:type="spellStart"/>
      <w:r>
        <w:rPr>
          <w:rStyle w:val="Emphasis"/>
        </w:rPr>
        <w:t>Ilmu</w:t>
      </w:r>
      <w:proofErr w:type="spellEnd"/>
      <w:r>
        <w:rPr>
          <w:rStyle w:val="Emphasis"/>
        </w:rPr>
        <w:t xml:space="preserve"> Hukum</w:t>
      </w:r>
      <w:r>
        <w:t xml:space="preserve">, (Bandung: Citra Aditya Bakti, 2006), </w:t>
      </w:r>
      <w:proofErr w:type="spellStart"/>
      <w:r>
        <w:t>hlm</w:t>
      </w:r>
      <w:proofErr w:type="spellEnd"/>
      <w:r>
        <w:t>. 121.</w:t>
      </w:r>
    </w:p>
  </w:footnote>
  <w:footnote w:id="44">
    <w:p w14:paraId="30AC9996" w14:textId="77777777" w:rsidR="00D6611B" w:rsidRDefault="0092034F">
      <w:pPr>
        <w:pStyle w:val="FootnoteText"/>
        <w:ind w:firstLine="709"/>
        <w:jc w:val="both"/>
      </w:pPr>
      <w:r>
        <w:rPr>
          <w:rStyle w:val="FootnoteCharacters"/>
        </w:rPr>
        <w:footnoteRef/>
      </w:r>
      <w:r>
        <w:t xml:space="preserve"> Marlina, </w:t>
      </w:r>
      <w:proofErr w:type="spellStart"/>
      <w:r>
        <w:rPr>
          <w:rStyle w:val="Emphasis"/>
        </w:rPr>
        <w:t>Pengantar</w:t>
      </w:r>
      <w:proofErr w:type="spellEnd"/>
      <w:r>
        <w:rPr>
          <w:rStyle w:val="Emphasis"/>
        </w:rPr>
        <w:t xml:space="preserve"> </w:t>
      </w:r>
      <w:proofErr w:type="spellStart"/>
      <w:r>
        <w:rPr>
          <w:rStyle w:val="Emphasis"/>
        </w:rPr>
        <w:t>Konsep</w:t>
      </w:r>
      <w:proofErr w:type="spellEnd"/>
      <w:r>
        <w:rPr>
          <w:rStyle w:val="Emphasis"/>
        </w:rPr>
        <w:t xml:space="preserve"> Diversi dan Restorative Justice </w:t>
      </w:r>
      <w:proofErr w:type="spellStart"/>
      <w:r>
        <w:rPr>
          <w:rStyle w:val="Emphasis"/>
        </w:rPr>
        <w:t>dalam</w:t>
      </w:r>
      <w:proofErr w:type="spellEnd"/>
      <w:r>
        <w:rPr>
          <w:rStyle w:val="Emphasis"/>
        </w:rPr>
        <w:t xml:space="preserve"> Hukum </w:t>
      </w:r>
      <w:proofErr w:type="spellStart"/>
      <w:r>
        <w:rPr>
          <w:rStyle w:val="Emphasis"/>
        </w:rPr>
        <w:t>Pidana</w:t>
      </w:r>
      <w:proofErr w:type="spellEnd"/>
      <w:r>
        <w:t xml:space="preserve">, (Medan: USU Press, 2010), </w:t>
      </w:r>
      <w:proofErr w:type="spellStart"/>
      <w:r>
        <w:t>hlm</w:t>
      </w:r>
      <w:proofErr w:type="spellEnd"/>
      <w:r>
        <w:t>. 19.</w:t>
      </w:r>
    </w:p>
  </w:footnote>
  <w:footnote w:id="45">
    <w:p w14:paraId="688CD94B" w14:textId="77777777" w:rsidR="00D6611B" w:rsidRDefault="0092034F">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xml:space="preserve">, 2011), </w:t>
      </w:r>
      <w:proofErr w:type="spellStart"/>
      <w:r>
        <w:t>hlm</w:t>
      </w:r>
      <w:proofErr w:type="spellEnd"/>
      <w:r>
        <w:t>. 58.</w:t>
      </w:r>
    </w:p>
  </w:footnote>
  <w:footnote w:id="46">
    <w:p w14:paraId="7E790F39" w14:textId="77777777" w:rsidR="00D6611B" w:rsidRDefault="0092034F">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199.</w:t>
      </w:r>
    </w:p>
  </w:footnote>
  <w:footnote w:id="47">
    <w:p w14:paraId="0549FD04" w14:textId="77777777" w:rsidR="00D6611B" w:rsidRDefault="0092034F">
      <w:pPr>
        <w:pStyle w:val="FootnoteText"/>
        <w:ind w:firstLine="709"/>
        <w:jc w:val="both"/>
      </w:pPr>
      <w:r>
        <w:rPr>
          <w:rStyle w:val="FootnoteCharacters"/>
        </w:rPr>
        <w:footnoteRef/>
      </w:r>
      <w:r>
        <w:t xml:space="preserve"> Adami Chazawi,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Tubuh</w:t>
      </w:r>
      <w:proofErr w:type="spellEnd"/>
      <w:r>
        <w:rPr>
          <w:rStyle w:val="Emphasis"/>
        </w:rPr>
        <w:t xml:space="preserve"> dan Nyawa</w:t>
      </w:r>
      <w:r>
        <w:t xml:space="preserve">, (Jakarta: </w:t>
      </w:r>
      <w:proofErr w:type="spellStart"/>
      <w:r>
        <w:t>RajaGrafindo</w:t>
      </w:r>
      <w:proofErr w:type="spellEnd"/>
      <w:r>
        <w:t xml:space="preserve"> </w:t>
      </w:r>
      <w:proofErr w:type="spellStart"/>
      <w:r>
        <w:t>Persada</w:t>
      </w:r>
      <w:proofErr w:type="spellEnd"/>
      <w:r>
        <w:t xml:space="preserve">, 2002), </w:t>
      </w:r>
      <w:proofErr w:type="spellStart"/>
      <w:r>
        <w:t>hlm</w:t>
      </w:r>
      <w:proofErr w:type="spellEnd"/>
      <w:r>
        <w:t>. 63.</w:t>
      </w:r>
    </w:p>
  </w:footnote>
  <w:footnote w:id="48">
    <w:p w14:paraId="027C26F3" w14:textId="77777777" w:rsidR="00D6611B" w:rsidRDefault="0092034F">
      <w:pPr>
        <w:pStyle w:val="FootnoteText"/>
        <w:ind w:firstLine="709"/>
      </w:pPr>
      <w:r>
        <w:rPr>
          <w:rStyle w:val="FootnoteCharacters"/>
        </w:rPr>
        <w:footnoteRef/>
      </w:r>
      <w:r>
        <w:t xml:space="preserve"> R. Sugandhi, </w:t>
      </w:r>
      <w:r>
        <w:rPr>
          <w:rStyle w:val="Emphasis"/>
        </w:rPr>
        <w:t xml:space="preserve">KUHP dan </w:t>
      </w:r>
      <w:proofErr w:type="spellStart"/>
      <w:r>
        <w:rPr>
          <w:rStyle w:val="Emphasis"/>
        </w:rPr>
        <w:t>Penjelasannya</w:t>
      </w:r>
      <w:proofErr w:type="spellEnd"/>
      <w:r>
        <w:t xml:space="preserve">, (Surabaya: Usaha Nasional, 1981), </w:t>
      </w:r>
      <w:proofErr w:type="spellStart"/>
      <w:r>
        <w:t>hlm</w:t>
      </w:r>
      <w:proofErr w:type="spellEnd"/>
      <w:r>
        <w:t>. 305.</w:t>
      </w:r>
    </w:p>
  </w:footnote>
  <w:footnote w:id="49">
    <w:p w14:paraId="6FEED6FF" w14:textId="77777777" w:rsidR="00D6611B" w:rsidRDefault="0092034F">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2014), </w:t>
      </w:r>
      <w:proofErr w:type="spellStart"/>
      <w:r>
        <w:t>hlm</w:t>
      </w:r>
      <w:proofErr w:type="spellEnd"/>
      <w:r>
        <w:t>. 87.</w:t>
      </w:r>
    </w:p>
  </w:footnote>
  <w:footnote w:id="50">
    <w:p w14:paraId="38BAE09D"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2002), </w:t>
      </w:r>
      <w:proofErr w:type="spellStart"/>
      <w:r>
        <w:t>hlm</w:t>
      </w:r>
      <w:proofErr w:type="spellEnd"/>
      <w:r>
        <w:t>. 110.</w:t>
      </w:r>
    </w:p>
  </w:footnote>
  <w:footnote w:id="51">
    <w:p w14:paraId="7447A7B2" w14:textId="77777777" w:rsidR="00D6611B" w:rsidRDefault="0092034F">
      <w:pPr>
        <w:pStyle w:val="FootnoteText"/>
        <w:ind w:firstLine="709"/>
        <w:jc w:val="both"/>
      </w:pPr>
      <w:r>
        <w:rPr>
          <w:rStyle w:val="FootnoteCharacters"/>
        </w:rPr>
        <w:footnoteRef/>
      </w:r>
      <w:r>
        <w:t xml:space="preserve"> </w:t>
      </w:r>
      <w:proofErr w:type="spellStart"/>
      <w:r>
        <w:t>Soerjono</w:t>
      </w:r>
      <w:proofErr w:type="spellEnd"/>
      <w:r>
        <w:t xml:space="preserve"> Soekanto, </w:t>
      </w:r>
      <w:proofErr w:type="spellStart"/>
      <w:r>
        <w:rPr>
          <w:rStyle w:val="Emphasis"/>
        </w:rPr>
        <w:t>Kesadaran</w:t>
      </w:r>
      <w:proofErr w:type="spellEnd"/>
      <w:r>
        <w:rPr>
          <w:rStyle w:val="Emphasis"/>
        </w:rPr>
        <w:t xml:space="preserve"> Hukum dan </w:t>
      </w:r>
      <w:proofErr w:type="spellStart"/>
      <w:r>
        <w:rPr>
          <w:rStyle w:val="Emphasis"/>
        </w:rPr>
        <w:t>Kepatuhan</w:t>
      </w:r>
      <w:proofErr w:type="spellEnd"/>
      <w:r>
        <w:rPr>
          <w:rStyle w:val="Emphasis"/>
        </w:rPr>
        <w:t xml:space="preserve"> Hukum</w:t>
      </w:r>
      <w:r>
        <w:t xml:space="preserve">, (Jakarta: </w:t>
      </w:r>
      <w:proofErr w:type="spellStart"/>
      <w:r>
        <w:t>Rajawali</w:t>
      </w:r>
      <w:proofErr w:type="spellEnd"/>
      <w:r>
        <w:t xml:space="preserve">, 1982), </w:t>
      </w:r>
      <w:proofErr w:type="spellStart"/>
      <w:r>
        <w:t>hlm</w:t>
      </w:r>
      <w:proofErr w:type="spellEnd"/>
      <w:r>
        <w:t>. 67.</w:t>
      </w:r>
    </w:p>
  </w:footnote>
  <w:footnote w:id="52">
    <w:p w14:paraId="7BF94E7F" w14:textId="77777777" w:rsidR="00D6611B" w:rsidRDefault="0092034F">
      <w:pPr>
        <w:pStyle w:val="FootnoteText"/>
        <w:ind w:firstLine="709"/>
        <w:jc w:val="both"/>
      </w:pPr>
      <w:r>
        <w:rPr>
          <w:rStyle w:val="FootnoteCharacters"/>
        </w:rPr>
        <w:footnoteRef/>
      </w:r>
      <w:r>
        <w:t xml:space="preserve"> Abdul Wahid dan Muhammad Irfan, </w:t>
      </w:r>
      <w:proofErr w:type="spellStart"/>
      <w:r>
        <w:rPr>
          <w:rStyle w:val="Emphasis"/>
        </w:rPr>
        <w:t>Perlindungan</w:t>
      </w:r>
      <w:proofErr w:type="spellEnd"/>
      <w:r>
        <w:rPr>
          <w:rStyle w:val="Emphasis"/>
        </w:rPr>
        <w:t xml:space="preserve"> </w:t>
      </w:r>
      <w:proofErr w:type="spellStart"/>
      <w:r>
        <w:rPr>
          <w:rStyle w:val="Emphasis"/>
        </w:rPr>
        <w:t>terhadap</w:t>
      </w:r>
      <w:proofErr w:type="spellEnd"/>
      <w:r>
        <w:rPr>
          <w:rStyle w:val="Emphasis"/>
        </w:rPr>
        <w:t xml:space="preserve"> Korban </w:t>
      </w:r>
      <w:proofErr w:type="spellStart"/>
      <w:r>
        <w:rPr>
          <w:rStyle w:val="Emphasis"/>
        </w:rPr>
        <w:t>Kekerasan</w:t>
      </w:r>
      <w:proofErr w:type="spellEnd"/>
      <w:r>
        <w:rPr>
          <w:rStyle w:val="Emphasis"/>
        </w:rPr>
        <w:t xml:space="preserve"> </w:t>
      </w:r>
      <w:proofErr w:type="spellStart"/>
      <w:r>
        <w:rPr>
          <w:rStyle w:val="Emphasis"/>
        </w:rPr>
        <w:t>Seksual</w:t>
      </w:r>
      <w:proofErr w:type="spellEnd"/>
      <w:r>
        <w:rPr>
          <w:rStyle w:val="Emphasis"/>
        </w:rPr>
        <w:t xml:space="preserve">: </w:t>
      </w:r>
      <w:proofErr w:type="spellStart"/>
      <w:r>
        <w:rPr>
          <w:rStyle w:val="Emphasis"/>
        </w:rPr>
        <w:t>Advokasi</w:t>
      </w:r>
      <w:proofErr w:type="spellEnd"/>
      <w:r>
        <w:rPr>
          <w:rStyle w:val="Emphasis"/>
        </w:rPr>
        <w:t xml:space="preserve"> </w:t>
      </w:r>
      <w:proofErr w:type="spellStart"/>
      <w:r>
        <w:rPr>
          <w:rStyle w:val="Emphasis"/>
        </w:rPr>
        <w:t>atas</w:t>
      </w:r>
      <w:proofErr w:type="spellEnd"/>
      <w:r>
        <w:rPr>
          <w:rStyle w:val="Emphasis"/>
        </w:rPr>
        <w:t xml:space="preserve"> Hak </w:t>
      </w:r>
      <w:proofErr w:type="spellStart"/>
      <w:r>
        <w:rPr>
          <w:rStyle w:val="Emphasis"/>
        </w:rPr>
        <w:t>Asasi</w:t>
      </w:r>
      <w:proofErr w:type="spellEnd"/>
      <w:r>
        <w:rPr>
          <w:rStyle w:val="Emphasis"/>
        </w:rPr>
        <w:t xml:space="preserve"> Perempuan</w:t>
      </w:r>
      <w:r>
        <w:t xml:space="preserve">, (Bandung: Refika </w:t>
      </w:r>
      <w:proofErr w:type="spellStart"/>
      <w:r>
        <w:t>Aditama</w:t>
      </w:r>
      <w:proofErr w:type="spellEnd"/>
      <w:r>
        <w:t xml:space="preserve">, 2011), </w:t>
      </w:r>
      <w:proofErr w:type="spellStart"/>
      <w:r>
        <w:t>hlm</w:t>
      </w:r>
      <w:proofErr w:type="spellEnd"/>
      <w:r>
        <w:t>. 45</w:t>
      </w:r>
    </w:p>
  </w:footnote>
  <w:footnote w:id="53">
    <w:p w14:paraId="264561A3" w14:textId="77777777" w:rsidR="00D6611B" w:rsidRDefault="0092034F">
      <w:pPr>
        <w:pStyle w:val="FootnoteText"/>
        <w:ind w:firstLine="709"/>
        <w:jc w:val="both"/>
      </w:pPr>
      <w:r>
        <w:rPr>
          <w:rStyle w:val="FootnoteCharacters"/>
        </w:rPr>
        <w:footnoteRef/>
      </w:r>
      <w:r>
        <w:t xml:space="preserve"> </w:t>
      </w:r>
      <w:proofErr w:type="spellStart"/>
      <w:r>
        <w:t>Ninik</w:t>
      </w:r>
      <w:proofErr w:type="spellEnd"/>
      <w:r>
        <w:t xml:space="preserve"> Rahayu, </w:t>
      </w:r>
      <w:r>
        <w:rPr>
          <w:rStyle w:val="Emphasis"/>
        </w:rPr>
        <w:t xml:space="preserve">Perempuan dan Hukum: </w:t>
      </w:r>
      <w:proofErr w:type="spellStart"/>
      <w:r>
        <w:rPr>
          <w:rStyle w:val="Emphasis"/>
        </w:rPr>
        <w:t>Menuju</w:t>
      </w:r>
      <w:proofErr w:type="spellEnd"/>
      <w:r>
        <w:rPr>
          <w:rStyle w:val="Emphasis"/>
        </w:rPr>
        <w:t xml:space="preserve"> Hukum yang </w:t>
      </w:r>
      <w:proofErr w:type="spellStart"/>
      <w:r>
        <w:rPr>
          <w:rStyle w:val="Emphasis"/>
        </w:rPr>
        <w:t>Berperspektif</w:t>
      </w:r>
      <w:proofErr w:type="spellEnd"/>
      <w:r>
        <w:rPr>
          <w:rStyle w:val="Emphasis"/>
        </w:rPr>
        <w:t xml:space="preserve"> </w:t>
      </w:r>
      <w:proofErr w:type="spellStart"/>
      <w:r>
        <w:rPr>
          <w:rStyle w:val="Emphasis"/>
        </w:rPr>
        <w:t>Kesetaraan</w:t>
      </w:r>
      <w:proofErr w:type="spellEnd"/>
      <w:r>
        <w:rPr>
          <w:rStyle w:val="Emphasis"/>
        </w:rPr>
        <w:t xml:space="preserve"> dan Keadilan</w:t>
      </w:r>
      <w:r>
        <w:t xml:space="preserve">, (Jakarta: Yayasan Pustaka </w:t>
      </w:r>
      <w:proofErr w:type="spellStart"/>
      <w:r>
        <w:t>Obor</w:t>
      </w:r>
      <w:proofErr w:type="spellEnd"/>
      <w:r>
        <w:t xml:space="preserve"> Indonesia, 2020), </w:t>
      </w:r>
      <w:proofErr w:type="spellStart"/>
      <w:r>
        <w:t>hlm</w:t>
      </w:r>
      <w:proofErr w:type="spellEnd"/>
      <w:r>
        <w:t>. 39.</w:t>
      </w:r>
    </w:p>
  </w:footnote>
  <w:footnote w:id="54">
    <w:p w14:paraId="4EBF7BA9" w14:textId="77777777" w:rsidR="00D6611B" w:rsidRDefault="0092034F">
      <w:pPr>
        <w:pStyle w:val="FootnoteText"/>
        <w:ind w:firstLine="709"/>
        <w:jc w:val="both"/>
      </w:pPr>
      <w:r>
        <w:rPr>
          <w:rStyle w:val="FootnoteCharacters"/>
        </w:rPr>
        <w:footnoteRef/>
      </w:r>
      <w:r>
        <w:t xml:space="preserve"> </w:t>
      </w:r>
      <w:proofErr w:type="spellStart"/>
      <w:r>
        <w:t>Satjipto</w:t>
      </w:r>
      <w:proofErr w:type="spellEnd"/>
      <w:r>
        <w:t xml:space="preserve"> Rahardjo, </w:t>
      </w:r>
      <w:proofErr w:type="spellStart"/>
      <w:r>
        <w:rPr>
          <w:rStyle w:val="Emphasis"/>
        </w:rPr>
        <w:t>Masalah</w:t>
      </w:r>
      <w:proofErr w:type="spellEnd"/>
      <w:r>
        <w:rPr>
          <w:rStyle w:val="Emphasis"/>
        </w:rPr>
        <w:t xml:space="preserve"> </w:t>
      </w:r>
      <w:proofErr w:type="spellStart"/>
      <w:r>
        <w:rPr>
          <w:rStyle w:val="Emphasis"/>
        </w:rPr>
        <w:t>Penegakan</w:t>
      </w:r>
      <w:proofErr w:type="spellEnd"/>
      <w:r>
        <w:rPr>
          <w:rStyle w:val="Emphasis"/>
        </w:rPr>
        <w:t xml:space="preserve"> Hukum</w:t>
      </w:r>
      <w:r>
        <w:t xml:space="preserve">, (Bandung: Sinar Baru, 1983), </w:t>
      </w:r>
      <w:proofErr w:type="spellStart"/>
      <w:r>
        <w:t>hlm</w:t>
      </w:r>
      <w:proofErr w:type="spellEnd"/>
      <w:r>
        <w:t>. 121.</w:t>
      </w:r>
    </w:p>
  </w:footnote>
  <w:footnote w:id="55">
    <w:p w14:paraId="22F7ED3F" w14:textId="77777777" w:rsidR="00D6611B" w:rsidRDefault="0092034F">
      <w:pPr>
        <w:pStyle w:val="FootnoteText"/>
        <w:ind w:firstLine="709"/>
        <w:jc w:val="both"/>
      </w:pPr>
      <w:r>
        <w:rPr>
          <w:rStyle w:val="FootnoteCharacters"/>
        </w:rPr>
        <w:footnoteRef/>
      </w:r>
      <w:r>
        <w:t xml:space="preserve"> </w:t>
      </w:r>
      <w:proofErr w:type="spellStart"/>
      <w:r>
        <w:t>Soerjono</w:t>
      </w:r>
      <w:proofErr w:type="spellEnd"/>
      <w:r>
        <w:t xml:space="preserve"> Soekanto, </w:t>
      </w:r>
      <w:r>
        <w:rPr>
          <w:rStyle w:val="Emphasis"/>
        </w:rPr>
        <w:t xml:space="preserve">Faktor-Faktor yang </w:t>
      </w:r>
      <w:proofErr w:type="spellStart"/>
      <w:r>
        <w:rPr>
          <w:rStyle w:val="Emphasis"/>
        </w:rPr>
        <w:t>Mempengaruhi</w:t>
      </w:r>
      <w:proofErr w:type="spellEnd"/>
      <w:r>
        <w:rPr>
          <w:rStyle w:val="Emphasis"/>
        </w:rPr>
        <w:t xml:space="preserve"> </w:t>
      </w:r>
      <w:proofErr w:type="spellStart"/>
      <w:r>
        <w:rPr>
          <w:rStyle w:val="Emphasis"/>
        </w:rPr>
        <w:t>Penegakan</w:t>
      </w:r>
      <w:proofErr w:type="spellEnd"/>
      <w:r>
        <w:rPr>
          <w:rStyle w:val="Emphasis"/>
        </w:rPr>
        <w:t xml:space="preserve"> Hukum</w:t>
      </w:r>
      <w:r>
        <w:t xml:space="preserve">, (Jakarta: </w:t>
      </w:r>
      <w:proofErr w:type="spellStart"/>
      <w:r>
        <w:t>RajaGrafindo</w:t>
      </w:r>
      <w:proofErr w:type="spellEnd"/>
      <w:r>
        <w:t xml:space="preserve"> </w:t>
      </w:r>
      <w:proofErr w:type="spellStart"/>
      <w:r>
        <w:t>Persada</w:t>
      </w:r>
      <w:proofErr w:type="spellEnd"/>
      <w:r>
        <w:t xml:space="preserve">, 2014), </w:t>
      </w:r>
      <w:proofErr w:type="spellStart"/>
      <w:r>
        <w:t>hlm</w:t>
      </w:r>
      <w:proofErr w:type="spellEnd"/>
      <w:r>
        <w:t>. 8.</w:t>
      </w:r>
    </w:p>
  </w:footnote>
  <w:footnote w:id="56">
    <w:p w14:paraId="1C553E1D" w14:textId="77777777" w:rsidR="00D6611B" w:rsidRDefault="0092034F">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xml:space="preserve">, 2011), </w:t>
      </w:r>
      <w:proofErr w:type="spellStart"/>
      <w:r>
        <w:t>hlm</w:t>
      </w:r>
      <w:proofErr w:type="spellEnd"/>
      <w:r>
        <w:t>. 63.</w:t>
      </w:r>
    </w:p>
  </w:footnote>
  <w:footnote w:id="57">
    <w:p w14:paraId="0D3CA92B" w14:textId="77777777" w:rsidR="00D6611B" w:rsidRDefault="0092034F">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2014), </w:t>
      </w:r>
      <w:proofErr w:type="spellStart"/>
      <w:r>
        <w:t>hlm</w:t>
      </w:r>
      <w:proofErr w:type="spellEnd"/>
      <w:r>
        <w:t>. 94.</w:t>
      </w:r>
    </w:p>
  </w:footnote>
  <w:footnote w:id="58">
    <w:p w14:paraId="6B3286CC"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xml:space="preserve">, 2008), </w:t>
      </w:r>
      <w:proofErr w:type="spellStart"/>
      <w:r>
        <w:t>hlm</w:t>
      </w:r>
      <w:proofErr w:type="spellEnd"/>
      <w:r>
        <w:t>. 799.</w:t>
      </w:r>
    </w:p>
  </w:footnote>
  <w:footnote w:id="59">
    <w:p w14:paraId="0C6A3873" w14:textId="77777777" w:rsidR="00D6611B" w:rsidRDefault="0092034F">
      <w:pPr>
        <w:pStyle w:val="FootnoteText"/>
        <w:ind w:firstLine="709"/>
        <w:jc w:val="both"/>
      </w:pPr>
      <w:r>
        <w:rPr>
          <w:rStyle w:val="FootnoteCharacters"/>
        </w:rPr>
        <w:footnoteRef/>
      </w:r>
      <w:r>
        <w:t xml:space="preserve"> Abdul Wahid dan Muhammad Irfan, </w:t>
      </w:r>
      <w:proofErr w:type="spellStart"/>
      <w:r>
        <w:rPr>
          <w:rStyle w:val="Emphasis"/>
        </w:rPr>
        <w:t>Perlindungan</w:t>
      </w:r>
      <w:proofErr w:type="spellEnd"/>
      <w:r>
        <w:rPr>
          <w:rStyle w:val="Emphasis"/>
        </w:rPr>
        <w:t xml:space="preserve"> </w:t>
      </w:r>
      <w:proofErr w:type="spellStart"/>
      <w:r>
        <w:rPr>
          <w:rStyle w:val="Emphasis"/>
        </w:rPr>
        <w:t>terhadap</w:t>
      </w:r>
      <w:proofErr w:type="spellEnd"/>
      <w:r>
        <w:rPr>
          <w:rStyle w:val="Emphasis"/>
        </w:rPr>
        <w:t xml:space="preserve"> Korban </w:t>
      </w:r>
      <w:proofErr w:type="spellStart"/>
      <w:r>
        <w:rPr>
          <w:rStyle w:val="Emphasis"/>
        </w:rPr>
        <w:t>Kekerasan</w:t>
      </w:r>
      <w:proofErr w:type="spellEnd"/>
      <w:r>
        <w:rPr>
          <w:rStyle w:val="Emphasis"/>
        </w:rPr>
        <w:t xml:space="preserve"> </w:t>
      </w:r>
      <w:proofErr w:type="spellStart"/>
      <w:r>
        <w:rPr>
          <w:rStyle w:val="Emphasis"/>
        </w:rPr>
        <w:t>Seksual</w:t>
      </w:r>
      <w:proofErr w:type="spellEnd"/>
      <w:r>
        <w:rPr>
          <w:rStyle w:val="Emphasis"/>
        </w:rPr>
        <w:t xml:space="preserve">: </w:t>
      </w:r>
      <w:proofErr w:type="spellStart"/>
      <w:r>
        <w:rPr>
          <w:rStyle w:val="Emphasis"/>
        </w:rPr>
        <w:t>Advokasi</w:t>
      </w:r>
      <w:proofErr w:type="spellEnd"/>
      <w:r>
        <w:rPr>
          <w:rStyle w:val="Emphasis"/>
        </w:rPr>
        <w:t xml:space="preserve"> </w:t>
      </w:r>
      <w:proofErr w:type="spellStart"/>
      <w:r>
        <w:rPr>
          <w:rStyle w:val="Emphasis"/>
        </w:rPr>
        <w:t>atas</w:t>
      </w:r>
      <w:proofErr w:type="spellEnd"/>
      <w:r>
        <w:rPr>
          <w:rStyle w:val="Emphasis"/>
        </w:rPr>
        <w:t xml:space="preserve"> Hak </w:t>
      </w:r>
      <w:proofErr w:type="spellStart"/>
      <w:r>
        <w:rPr>
          <w:rStyle w:val="Emphasis"/>
        </w:rPr>
        <w:t>Asasi</w:t>
      </w:r>
      <w:proofErr w:type="spellEnd"/>
      <w:r>
        <w:rPr>
          <w:rStyle w:val="Emphasis"/>
        </w:rPr>
        <w:t xml:space="preserve"> Perempuan</w:t>
      </w:r>
      <w:r>
        <w:t xml:space="preserve">, (Bandung: Refika </w:t>
      </w:r>
      <w:proofErr w:type="spellStart"/>
      <w:r>
        <w:t>Aditama</w:t>
      </w:r>
      <w:proofErr w:type="spellEnd"/>
      <w:r>
        <w:t xml:space="preserve">, 2011), </w:t>
      </w:r>
      <w:proofErr w:type="spellStart"/>
      <w:r>
        <w:t>hlm</w:t>
      </w:r>
      <w:proofErr w:type="spellEnd"/>
      <w:r>
        <w:t>. 52.</w:t>
      </w:r>
    </w:p>
  </w:footnote>
  <w:footnote w:id="60">
    <w:p w14:paraId="62043C76" w14:textId="77777777" w:rsidR="00D6611B" w:rsidRDefault="0092034F">
      <w:pPr>
        <w:pStyle w:val="FootnoteText"/>
        <w:ind w:firstLine="709"/>
        <w:jc w:val="both"/>
      </w:pPr>
      <w:r>
        <w:rPr>
          <w:rStyle w:val="FootnoteCharacters"/>
        </w:rPr>
        <w:footnoteRef/>
      </w:r>
      <w:r>
        <w:t xml:space="preserve"> </w:t>
      </w:r>
      <w:proofErr w:type="spellStart"/>
      <w:r>
        <w:t>Satjipto</w:t>
      </w:r>
      <w:proofErr w:type="spellEnd"/>
      <w:r>
        <w:t xml:space="preserve"> Rahardjo, </w:t>
      </w:r>
      <w:proofErr w:type="spellStart"/>
      <w:r>
        <w:rPr>
          <w:rStyle w:val="Emphasis"/>
        </w:rPr>
        <w:t>Ilmu</w:t>
      </w:r>
      <w:proofErr w:type="spellEnd"/>
      <w:r>
        <w:rPr>
          <w:rStyle w:val="Emphasis"/>
        </w:rPr>
        <w:t xml:space="preserve"> Hukum</w:t>
      </w:r>
      <w:r>
        <w:t xml:space="preserve">, (Bandung: Citra Aditya Bakti, 2006), </w:t>
      </w:r>
      <w:proofErr w:type="spellStart"/>
      <w:r>
        <w:t>hlm</w:t>
      </w:r>
      <w:proofErr w:type="spellEnd"/>
      <w:r>
        <w:t>. 127.</w:t>
      </w:r>
    </w:p>
  </w:footnote>
  <w:footnote w:id="61">
    <w:p w14:paraId="57906CE8" w14:textId="77777777" w:rsidR="00D6611B" w:rsidRDefault="0092034F">
      <w:pPr>
        <w:pStyle w:val="FootnoteText"/>
        <w:ind w:firstLine="709"/>
      </w:pPr>
      <w:r>
        <w:rPr>
          <w:rStyle w:val="FootnoteCharacters"/>
        </w:rPr>
        <w:footnoteRef/>
      </w:r>
      <w:r>
        <w:t xml:space="preserve"> Pasal 1 </w:t>
      </w:r>
      <w:proofErr w:type="spellStart"/>
      <w:r>
        <w:t>angka</w:t>
      </w:r>
      <w:proofErr w:type="spellEnd"/>
      <w:r>
        <w:t xml:space="preserve"> 2, Kitab </w:t>
      </w:r>
      <w:proofErr w:type="spellStart"/>
      <w:r>
        <w:t>Undang-Undang</w:t>
      </w:r>
      <w:proofErr w:type="spellEnd"/>
      <w:r>
        <w:t xml:space="preserve"> Hukum Acara </w:t>
      </w:r>
      <w:proofErr w:type="spellStart"/>
      <w:r>
        <w:t>Pidana</w:t>
      </w:r>
      <w:proofErr w:type="spellEnd"/>
      <w:r>
        <w:t>.</w:t>
      </w:r>
    </w:p>
  </w:footnote>
  <w:footnote w:id="62">
    <w:p w14:paraId="5AAEEBA7"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2002), </w:t>
      </w:r>
      <w:proofErr w:type="spellStart"/>
      <w:r>
        <w:t>hlm</w:t>
      </w:r>
      <w:proofErr w:type="spellEnd"/>
      <w:r>
        <w:t>. 109.</w:t>
      </w:r>
    </w:p>
  </w:footnote>
  <w:footnote w:id="63">
    <w:p w14:paraId="03934AAD" w14:textId="77777777" w:rsidR="00D6611B" w:rsidRDefault="0092034F">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2014), </w:t>
      </w:r>
      <w:proofErr w:type="spellStart"/>
      <w:r>
        <w:t>hlm</w:t>
      </w:r>
      <w:proofErr w:type="spellEnd"/>
      <w:r>
        <w:t>. 119.</w:t>
      </w:r>
    </w:p>
  </w:footnote>
  <w:footnote w:id="64">
    <w:p w14:paraId="44A47CA1" w14:textId="77777777" w:rsidR="00D6611B" w:rsidRDefault="0092034F">
      <w:pPr>
        <w:pStyle w:val="FootnoteText"/>
        <w:ind w:firstLine="709"/>
        <w:jc w:val="both"/>
      </w:pPr>
      <w:r>
        <w:rPr>
          <w:rStyle w:val="FootnoteCharacters"/>
        </w:rPr>
        <w:footnoteRef/>
      </w:r>
      <w:r>
        <w:t xml:space="preserve"> Peter Mahmud Marzuki, </w:t>
      </w:r>
      <w:proofErr w:type="spellStart"/>
      <w:r>
        <w:rPr>
          <w:rStyle w:val="Emphasis"/>
        </w:rPr>
        <w:t>Penelitian</w:t>
      </w:r>
      <w:proofErr w:type="spellEnd"/>
      <w:r>
        <w:rPr>
          <w:rStyle w:val="Emphasis"/>
        </w:rPr>
        <w:t xml:space="preserve"> Hukum</w:t>
      </w:r>
      <w:r>
        <w:t xml:space="preserve">, (Jakarta: </w:t>
      </w:r>
      <w:proofErr w:type="spellStart"/>
      <w:r>
        <w:t>Kencana</w:t>
      </w:r>
      <w:proofErr w:type="spellEnd"/>
      <w:r>
        <w:t xml:space="preserve">, 2005), </w:t>
      </w:r>
      <w:proofErr w:type="spellStart"/>
      <w:r>
        <w:t>hlm</w:t>
      </w:r>
      <w:proofErr w:type="spellEnd"/>
      <w:r>
        <w:t>. 93.</w:t>
      </w:r>
    </w:p>
  </w:footnote>
  <w:footnote w:id="65">
    <w:p w14:paraId="754E05A6" w14:textId="77777777" w:rsidR="00D6611B" w:rsidRDefault="0092034F">
      <w:pPr>
        <w:pStyle w:val="FootnoteText"/>
        <w:ind w:firstLine="709"/>
      </w:pPr>
      <w:r>
        <w:rPr>
          <w:rStyle w:val="FootnoteCharacters"/>
        </w:rPr>
        <w:footnoteRef/>
      </w:r>
      <w:r>
        <w:t xml:space="preserve"> Bambang Waluyo, </w:t>
      </w:r>
      <w:proofErr w:type="spellStart"/>
      <w:r>
        <w:rPr>
          <w:rStyle w:val="Emphasis"/>
        </w:rPr>
        <w:t>Pidana</w:t>
      </w:r>
      <w:proofErr w:type="spellEnd"/>
      <w:r>
        <w:rPr>
          <w:rStyle w:val="Emphasis"/>
        </w:rPr>
        <w:t xml:space="preserve"> dan </w:t>
      </w:r>
      <w:proofErr w:type="spellStart"/>
      <w:r>
        <w:rPr>
          <w:rStyle w:val="Emphasis"/>
        </w:rPr>
        <w:t>Pemidanaan</w:t>
      </w:r>
      <w:proofErr w:type="spellEnd"/>
      <w:r>
        <w:t xml:space="preserve">, (Jakarta: Sinar </w:t>
      </w:r>
      <w:proofErr w:type="spellStart"/>
      <w:r>
        <w:t>Grafika</w:t>
      </w:r>
      <w:proofErr w:type="spellEnd"/>
      <w:r>
        <w:t xml:space="preserve">, 2008), </w:t>
      </w:r>
      <w:proofErr w:type="spellStart"/>
      <w:r>
        <w:t>hlm</w:t>
      </w:r>
      <w:proofErr w:type="spellEnd"/>
      <w:r>
        <w:t>. 47.</w:t>
      </w:r>
    </w:p>
  </w:footnote>
  <w:footnote w:id="66">
    <w:p w14:paraId="4D3BB75A" w14:textId="77777777" w:rsidR="00D6611B" w:rsidRDefault="0092034F">
      <w:pPr>
        <w:pStyle w:val="FootnoteText"/>
        <w:ind w:firstLine="709"/>
      </w:pPr>
      <w:r>
        <w:rPr>
          <w:rStyle w:val="FootnoteCharacters"/>
        </w:rPr>
        <w:footnoteRef/>
      </w:r>
      <w:r>
        <w:t xml:space="preserve"> Kitab </w:t>
      </w:r>
      <w:proofErr w:type="spellStart"/>
      <w:r>
        <w:t>Undang-Undang</w:t>
      </w:r>
      <w:proofErr w:type="spellEnd"/>
      <w:r>
        <w:t xml:space="preserve"> Hukum Acara </w:t>
      </w:r>
      <w:proofErr w:type="spellStart"/>
      <w:r>
        <w:t>Pidana</w:t>
      </w:r>
      <w:proofErr w:type="spellEnd"/>
      <w:r>
        <w:t>.</w:t>
      </w:r>
    </w:p>
  </w:footnote>
  <w:footnote w:id="67">
    <w:p w14:paraId="06F5CFE4" w14:textId="77777777" w:rsidR="00D6611B" w:rsidRDefault="0092034F">
      <w:pPr>
        <w:pStyle w:val="FootnoteText"/>
        <w:ind w:firstLine="709"/>
      </w:pPr>
      <w:r>
        <w:rPr>
          <w:rStyle w:val="FootnoteCharacters"/>
        </w:rPr>
        <w:footnoteRef/>
      </w:r>
      <w:r>
        <w:t xml:space="preserve"> </w:t>
      </w:r>
      <w:proofErr w:type="spellStart"/>
      <w:r>
        <w:t>Undang-Undang</w:t>
      </w:r>
      <w:proofErr w:type="spellEnd"/>
      <w:r>
        <w:t xml:space="preserve"> </w:t>
      </w:r>
      <w:proofErr w:type="spellStart"/>
      <w:r>
        <w:t>Nomor</w:t>
      </w:r>
      <w:proofErr w:type="spellEnd"/>
      <w:r>
        <w:t xml:space="preserve"> 2 </w:t>
      </w:r>
      <w:proofErr w:type="spellStart"/>
      <w:r>
        <w:t>Tahun</w:t>
      </w:r>
      <w:proofErr w:type="spellEnd"/>
      <w:r>
        <w:t xml:space="preserve"> 2002 </w:t>
      </w:r>
      <w:proofErr w:type="spellStart"/>
      <w:r>
        <w:t>tentang</w:t>
      </w:r>
      <w:proofErr w:type="spellEnd"/>
      <w:r>
        <w:t xml:space="preserve"> </w:t>
      </w:r>
      <w:proofErr w:type="spellStart"/>
      <w:r>
        <w:t>Kepolisian</w:t>
      </w:r>
      <w:proofErr w:type="spellEnd"/>
      <w:r>
        <w:t xml:space="preserve"> Negara Republik Indonesia.</w:t>
      </w:r>
    </w:p>
  </w:footnote>
  <w:footnote w:id="68">
    <w:p w14:paraId="1F35094A" w14:textId="77777777" w:rsidR="00D6611B" w:rsidRDefault="0092034F">
      <w:pPr>
        <w:pStyle w:val="FootnoteText"/>
        <w:ind w:firstLine="709"/>
      </w:pPr>
      <w:r>
        <w:rPr>
          <w:rStyle w:val="FootnoteCharacters"/>
        </w:rPr>
        <w:footnoteRef/>
      </w:r>
      <w:r>
        <w:t xml:space="preserve"> Pasal </w:t>
      </w:r>
      <w:r>
        <w:rPr>
          <w:lang w:val="id-ID"/>
        </w:rPr>
        <w:t>470</w:t>
      </w:r>
      <w:r>
        <w:t xml:space="preserve">, Kitab </w:t>
      </w:r>
      <w:proofErr w:type="spellStart"/>
      <w:r>
        <w:t>Undang-Undang</w:t>
      </w:r>
      <w:proofErr w:type="spellEnd"/>
      <w:r>
        <w:t xml:space="preserve"> Hukum </w:t>
      </w:r>
      <w:proofErr w:type="spellStart"/>
      <w:r>
        <w:t>Pidana</w:t>
      </w:r>
      <w:proofErr w:type="spellEnd"/>
      <w:r>
        <w:t>.</w:t>
      </w:r>
    </w:p>
  </w:footnote>
  <w:footnote w:id="69">
    <w:p w14:paraId="50B21CD8" w14:textId="77777777" w:rsidR="00D6611B" w:rsidRDefault="0092034F">
      <w:pPr>
        <w:pStyle w:val="FootnoteText"/>
        <w:ind w:firstLine="709"/>
      </w:pPr>
      <w:r>
        <w:rPr>
          <w:rStyle w:val="FootnoteCharacters"/>
        </w:rPr>
        <w:footnoteRef/>
      </w:r>
      <w:r>
        <w:t xml:space="preserve"> Pasal 184, Kitab </w:t>
      </w:r>
      <w:proofErr w:type="spellStart"/>
      <w:r>
        <w:t>Undang-Undang</w:t>
      </w:r>
      <w:proofErr w:type="spellEnd"/>
      <w:r>
        <w:t xml:space="preserve"> Hukum Acara </w:t>
      </w:r>
      <w:proofErr w:type="spellStart"/>
      <w:r>
        <w:t>Pidana</w:t>
      </w:r>
      <w:proofErr w:type="spellEnd"/>
      <w:r>
        <w:t>.</w:t>
      </w:r>
    </w:p>
  </w:footnote>
  <w:footnote w:id="70">
    <w:p w14:paraId="5C0976D0" w14:textId="77777777" w:rsidR="00D6611B" w:rsidRDefault="0092034F">
      <w:pPr>
        <w:pStyle w:val="FootnoteText"/>
        <w:ind w:firstLine="709"/>
      </w:pPr>
      <w:r>
        <w:rPr>
          <w:rStyle w:val="FootnoteCharacters"/>
        </w:rPr>
        <w:footnoteRef/>
      </w:r>
      <w:r>
        <w:t xml:space="preserve"> Pasal 7, Kitab </w:t>
      </w:r>
      <w:proofErr w:type="spellStart"/>
      <w:r>
        <w:t>Undang-Undang</w:t>
      </w:r>
      <w:proofErr w:type="spellEnd"/>
      <w:r>
        <w:t xml:space="preserve"> Hukum Acara </w:t>
      </w:r>
      <w:proofErr w:type="spellStart"/>
      <w:r>
        <w:t>Pidana</w:t>
      </w:r>
      <w:proofErr w:type="spellEnd"/>
      <w:r>
        <w:t>.</w:t>
      </w:r>
    </w:p>
  </w:footnote>
  <w:footnote w:id="71">
    <w:p w14:paraId="721FFC6D" w14:textId="77777777" w:rsidR="00D6611B" w:rsidRDefault="0092034F">
      <w:pPr>
        <w:pStyle w:val="FootnoteText"/>
        <w:ind w:firstLine="709"/>
      </w:pPr>
      <w:r>
        <w:rPr>
          <w:rStyle w:val="FootnoteCharacters"/>
        </w:rPr>
        <w:footnoteRef/>
      </w:r>
      <w:r>
        <w:t xml:space="preserve"> Pasal 7 </w:t>
      </w:r>
      <w:proofErr w:type="spellStart"/>
      <w:r>
        <w:t>ayat</w:t>
      </w:r>
      <w:proofErr w:type="spellEnd"/>
      <w:r>
        <w:t xml:space="preserve"> (1) </w:t>
      </w:r>
      <w:proofErr w:type="spellStart"/>
      <w:r>
        <w:t>huruf</w:t>
      </w:r>
      <w:proofErr w:type="spellEnd"/>
      <w:r>
        <w:t xml:space="preserve"> a, Kitab </w:t>
      </w:r>
      <w:proofErr w:type="spellStart"/>
      <w:r>
        <w:t>Undang-Undang</w:t>
      </w:r>
      <w:proofErr w:type="spellEnd"/>
      <w:r>
        <w:t xml:space="preserve"> Hukum Acara </w:t>
      </w:r>
      <w:proofErr w:type="spellStart"/>
      <w:r>
        <w:t>Pidana</w:t>
      </w:r>
      <w:proofErr w:type="spellEnd"/>
      <w:r>
        <w:t>.</w:t>
      </w:r>
    </w:p>
  </w:footnote>
  <w:footnote w:id="72">
    <w:p w14:paraId="5023CCE5" w14:textId="77777777" w:rsidR="00D6611B" w:rsidRDefault="0092034F">
      <w:pPr>
        <w:pStyle w:val="FootnoteText"/>
        <w:ind w:firstLine="709"/>
      </w:pPr>
      <w:r>
        <w:rPr>
          <w:rStyle w:val="FootnoteCharacters"/>
        </w:rPr>
        <w:footnoteRef/>
      </w:r>
      <w:r>
        <w:t xml:space="preserve"> Pasal 7 </w:t>
      </w:r>
      <w:proofErr w:type="spellStart"/>
      <w:r>
        <w:t>ayat</w:t>
      </w:r>
      <w:proofErr w:type="spellEnd"/>
      <w:r>
        <w:t xml:space="preserve"> (1) </w:t>
      </w:r>
      <w:proofErr w:type="spellStart"/>
      <w:r>
        <w:t>huruf</w:t>
      </w:r>
      <w:proofErr w:type="spellEnd"/>
      <w:r>
        <w:t xml:space="preserve"> b, Kitab </w:t>
      </w:r>
      <w:proofErr w:type="spellStart"/>
      <w:r>
        <w:t>Undang-Undang</w:t>
      </w:r>
      <w:proofErr w:type="spellEnd"/>
      <w:r>
        <w:t xml:space="preserve"> Hukum Acara </w:t>
      </w:r>
      <w:proofErr w:type="spellStart"/>
      <w:r>
        <w:t>Pidana</w:t>
      </w:r>
      <w:proofErr w:type="spellEnd"/>
      <w:r>
        <w:t>.</w:t>
      </w:r>
    </w:p>
  </w:footnote>
  <w:footnote w:id="73">
    <w:p w14:paraId="08784B3B" w14:textId="77777777" w:rsidR="00D6611B" w:rsidRDefault="0092034F">
      <w:pPr>
        <w:pStyle w:val="FootnoteText"/>
        <w:ind w:firstLine="709"/>
      </w:pPr>
      <w:r>
        <w:rPr>
          <w:rStyle w:val="FootnoteCharacters"/>
        </w:rPr>
        <w:footnoteRef/>
      </w:r>
      <w:r>
        <w:t xml:space="preserve"> Pasal 112 dan Pasal 116, Kitab </w:t>
      </w:r>
      <w:proofErr w:type="spellStart"/>
      <w:r>
        <w:t>Undang-Undang</w:t>
      </w:r>
      <w:proofErr w:type="spellEnd"/>
      <w:r>
        <w:t xml:space="preserve"> Hukum Acara </w:t>
      </w:r>
      <w:proofErr w:type="spellStart"/>
      <w:r>
        <w:t>Pidana</w:t>
      </w:r>
      <w:proofErr w:type="spellEnd"/>
      <w:r>
        <w:t>.</w:t>
      </w:r>
    </w:p>
  </w:footnote>
  <w:footnote w:id="74">
    <w:p w14:paraId="09EAC857" w14:textId="77777777" w:rsidR="00D6611B" w:rsidRDefault="0092034F">
      <w:pPr>
        <w:pStyle w:val="FootnoteText"/>
        <w:ind w:firstLine="709"/>
      </w:pPr>
      <w:r>
        <w:rPr>
          <w:rStyle w:val="FootnoteCharacters"/>
        </w:rPr>
        <w:footnoteRef/>
      </w:r>
      <w:r>
        <w:t xml:space="preserve"> Pasal 38, Kitab </w:t>
      </w:r>
      <w:proofErr w:type="spellStart"/>
      <w:r>
        <w:t>Undang-Undang</w:t>
      </w:r>
      <w:proofErr w:type="spellEnd"/>
      <w:r>
        <w:t xml:space="preserve"> Hukum Acara </w:t>
      </w:r>
      <w:proofErr w:type="spellStart"/>
      <w:r>
        <w:t>Pidana</w:t>
      </w:r>
      <w:proofErr w:type="spellEnd"/>
      <w:r>
        <w:t>.</w:t>
      </w:r>
    </w:p>
  </w:footnote>
  <w:footnote w:id="75">
    <w:p w14:paraId="0F146409"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2002), </w:t>
      </w:r>
      <w:proofErr w:type="spellStart"/>
      <w:r>
        <w:t>hlm</w:t>
      </w:r>
      <w:proofErr w:type="spellEnd"/>
      <w:r>
        <w:t>.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WordPictureWatermark95862316"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WordPictureWatermark95862313"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9"/>
  </w:num>
  <w:num w:numId="3" w16cid:durableId="358623131">
    <w:abstractNumId w:val="2"/>
  </w:num>
  <w:num w:numId="4" w16cid:durableId="512453259">
    <w:abstractNumId w:val="13"/>
  </w:num>
  <w:num w:numId="5" w16cid:durableId="741370336">
    <w:abstractNumId w:val="3"/>
  </w:num>
  <w:num w:numId="6" w16cid:durableId="2141653059">
    <w:abstractNumId w:val="4"/>
  </w:num>
  <w:num w:numId="7" w16cid:durableId="570383674">
    <w:abstractNumId w:val="5"/>
  </w:num>
  <w:num w:numId="8" w16cid:durableId="1914701632">
    <w:abstractNumId w:val="8"/>
  </w:num>
  <w:num w:numId="9" w16cid:durableId="304283669">
    <w:abstractNumId w:val="14"/>
  </w:num>
  <w:num w:numId="10" w16cid:durableId="2069183405">
    <w:abstractNumId w:val="6"/>
  </w:num>
  <w:num w:numId="11" w16cid:durableId="1187252590">
    <w:abstractNumId w:val="12"/>
  </w:num>
  <w:num w:numId="12" w16cid:durableId="1016734280">
    <w:abstractNumId w:val="7"/>
  </w:num>
  <w:num w:numId="13" w16cid:durableId="1161236682">
    <w:abstractNumId w:val="10"/>
  </w:num>
  <w:num w:numId="14" w16cid:durableId="51926508">
    <w:abstractNumId w:val="11"/>
  </w:num>
  <w:num w:numId="15" w16cid:durableId="7247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147C4"/>
    <w:rsid w:val="002F30FA"/>
    <w:rsid w:val="00386DDA"/>
    <w:rsid w:val="003F1B35"/>
    <w:rsid w:val="004E5E4E"/>
    <w:rsid w:val="005B1C08"/>
    <w:rsid w:val="005C34AB"/>
    <w:rsid w:val="005C6DEA"/>
    <w:rsid w:val="007B2846"/>
    <w:rsid w:val="008466C8"/>
    <w:rsid w:val="008A52B4"/>
    <w:rsid w:val="008C57A8"/>
    <w:rsid w:val="008F6229"/>
    <w:rsid w:val="00906C1B"/>
    <w:rsid w:val="0092034F"/>
    <w:rsid w:val="00996176"/>
    <w:rsid w:val="009A1C09"/>
    <w:rsid w:val="00A754A0"/>
    <w:rsid w:val="00AE6899"/>
    <w:rsid w:val="00C765F2"/>
    <w:rsid w:val="00CB3C52"/>
    <w:rsid w:val="00D56DFC"/>
    <w:rsid w:val="00D6611B"/>
    <w:rsid w:val="00D96E8D"/>
    <w:rsid w:val="00E00E74"/>
    <w:rsid w:val="00E96ED6"/>
    <w:rsid w:val="00ED3BAE"/>
    <w:rsid w:val="00F00CA7"/>
    <w:rsid w:val="00F3446C"/>
    <w:rsid w:val="00F41C7E"/>
    <w:rsid w:val="00F70217"/>
    <w:rsid w:val="00FC490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4052</Words>
  <Characters>23102</Characters>
  <Application>Microsoft Office Word</Application>
  <DocSecurity>0</DocSecurity>
  <Lines>192</Lines>
  <Paragraphs>54</Paragraphs>
  <ScaleCrop>false</ScaleCrop>
  <Company/>
  <LinksUpToDate>false</LinksUpToDate>
  <CharactersWithSpaces>27100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2026-09-12T03:32:00Z</cp:lastPrinted>
  <dcterms:created xsi:type="dcterms:W3CDTF">2026-09-17T07:20:00Z</dcterms:created>
  <dcterms:modified xsi:type="dcterms:W3CDTF">2026-09-17T07:20:00Z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