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C12D5" w14:textId="77777777" w:rsidR="005E6F2C" w:rsidRDefault="009C57C4">
      <w:pPr>
        <w:pStyle w:val="Heading1"/>
        <w:rPr>
          <w:color w:val="0D0D0D"/>
          <w:szCs w:val="24"/>
        </w:rPr>
      </w:pPr>
      <w:bookmarkStart w:id="0" w:name="_Toc232117586"/>
      <w:bookmarkStart w:id="1" w:name="_GoBack"/>
      <w:bookmarkEnd w:id="1"/>
      <w:r>
        <w:rPr>
          <w:color w:val="0D0D0D"/>
          <w:szCs w:val="24"/>
        </w:rPr>
        <w:t>BAB II</w:t>
      </w:r>
      <w:bookmarkEnd w:id="0"/>
    </w:p>
    <w:p w14:paraId="4AFB494C" w14:textId="77777777" w:rsidR="005E6F2C" w:rsidRDefault="009C57C4">
      <w:pPr>
        <w:pStyle w:val="Heading1"/>
        <w:rPr>
          <w:color w:val="0D0D0D"/>
          <w:szCs w:val="24"/>
        </w:rPr>
      </w:pPr>
      <w:bookmarkStart w:id="2" w:name="_Toc232117587"/>
      <w:r>
        <w:rPr>
          <w:color w:val="0D0D0D"/>
          <w:szCs w:val="24"/>
        </w:rPr>
        <w:t>TINJAUAN PUSTAKA</w:t>
      </w:r>
      <w:bookmarkEnd w:id="2"/>
    </w:p>
    <w:p w14:paraId="2537D33C" w14:textId="77777777" w:rsidR="005E6F2C" w:rsidRDefault="005E6F2C">
      <w:pPr>
        <w:rPr>
          <w:color w:val="0D0D0D"/>
          <w:lang w:val="en-US"/>
        </w:rPr>
      </w:pPr>
    </w:p>
    <w:p w14:paraId="69AF6A7A" w14:textId="77777777" w:rsidR="005E6F2C" w:rsidRDefault="009C57C4">
      <w:pPr>
        <w:pStyle w:val="Heading2"/>
        <w:rPr>
          <w:sz w:val="36"/>
          <w:szCs w:val="36"/>
        </w:rPr>
      </w:pPr>
      <w:bookmarkStart w:id="3" w:name="_Toc232117588"/>
      <w:r>
        <w:t xml:space="preserve">A. </w:t>
      </w:r>
      <w:r>
        <w:tab/>
      </w:r>
      <w:proofErr w:type="spellStart"/>
      <w:r>
        <w:t>Gambaran</w:t>
      </w:r>
      <w:proofErr w:type="spellEnd"/>
      <w:r>
        <w:t xml:space="preserve"> </w:t>
      </w:r>
      <w:proofErr w:type="spellStart"/>
      <w:r>
        <w:t>Umum</w:t>
      </w:r>
      <w:proofErr w:type="spellEnd"/>
      <w:r>
        <w:t xml:space="preserve"> </w:t>
      </w:r>
      <w:proofErr w:type="spellStart"/>
      <w:r>
        <w:t>Tindak</w:t>
      </w:r>
      <w:proofErr w:type="spellEnd"/>
      <w:r>
        <w:t xml:space="preserve"> </w:t>
      </w:r>
      <w:proofErr w:type="spellStart"/>
      <w:r>
        <w:t>Pidana</w:t>
      </w:r>
      <w:bookmarkEnd w:id="3"/>
      <w:proofErr w:type="spellEnd"/>
    </w:p>
    <w:p w14:paraId="0994C7AE" w14:textId="77777777" w:rsidR="005E6F2C" w:rsidRDefault="009C57C4">
      <w:pPr>
        <w:pStyle w:val="Heading3"/>
        <w:ind w:firstLine="709"/>
      </w:pPr>
      <w:bookmarkStart w:id="4" w:name="_Toc232117589"/>
      <w:r>
        <w:t>1. Pengertian Tindak Pidana</w:t>
      </w:r>
      <w:bookmarkEnd w:id="4"/>
    </w:p>
    <w:p w14:paraId="2BBD0D44" w14:textId="77777777" w:rsidR="005E6F2C" w:rsidRDefault="009C57C4">
      <w:pPr>
        <w:spacing w:line="480" w:lineRule="auto"/>
        <w:ind w:firstLine="709"/>
        <w:jc w:val="both"/>
      </w:pPr>
      <w:r>
        <w:t>Tindak pidana merupakan perbuatan yang dilarang oleh hukum pidana dan terhadap pelakunya dapat dijatuhi sanksi pidana apabila memenuhi unsur-unsur tertentu. Dalam hukum pidana, tidak semua perbuatan tercela dapat langsung disebut sebagai tindak pidana, karena suatu perbuatan baru dapat dipidana apabila telah ditentukan terlebih dahulu dalam peraturan perundang-undangan. Prinsip ini menunjukkan bahwa hukum pidana bekerja berdasarkan asas legalitas, yaitu tidak ada perbuatan yang dapat dipidana tanpa aturan pidana yang mengaturnya terlebih dahulu.</w:t>
      </w:r>
      <w:r>
        <w:rPr>
          <w:rStyle w:val="FootnoteReference"/>
        </w:rPr>
        <w:footnoteReference w:id="1"/>
      </w:r>
    </w:p>
    <w:p w14:paraId="0EB2C63E" w14:textId="77777777" w:rsidR="005E6F2C" w:rsidRDefault="009C57C4">
      <w:pPr>
        <w:spacing w:line="480" w:lineRule="auto"/>
        <w:ind w:firstLine="709"/>
        <w:jc w:val="both"/>
      </w:pPr>
      <w:r>
        <w:t>Secara sederhana, tindak pidana dapat dipahami sebagai perbuatan manusia yang bertentangan dengan norma hukum, bersifat melawan hukum, dan menimbulkan akibat hukum berupa pidana. Perbuatan tersebut dapat berupa tindakan aktif, seperti mengambil barang milik orang lain, atau tindakan pasif, seperti tidak melakukan kewajiban hukum tertentu. Oleh karena itu, tindak pidana tidak hanya dilihat dari akibat yang ditimbulkan, tetapi juga dari perbuatan, kesalahan, dan pertanggungjawaban pelakunya.</w:t>
      </w:r>
      <w:r>
        <w:rPr>
          <w:rStyle w:val="FootnoteReference"/>
        </w:rPr>
        <w:footnoteReference w:id="2"/>
      </w:r>
    </w:p>
    <w:p w14:paraId="7B6BF882" w14:textId="77777777" w:rsidR="005E6F2C" w:rsidRDefault="009C57C4">
      <w:pPr>
        <w:spacing w:line="480" w:lineRule="auto"/>
        <w:ind w:firstLine="709"/>
        <w:jc w:val="both"/>
      </w:pPr>
      <w:r>
        <w:t xml:space="preserve">Istilah tindak pidana sering disamakan dengan istilah delik atau strafbaar feit. Dalam literatur hukum pidana, strafbaar feit diartikan sebagai suatu perbuatan yang dapat dihukum karena bertentangan dengan ketentuan hukum pidana. Istilah ini menekankan bahwa suatu perbuatan harus memenuhi unsur pidana terlebih </w:t>
      </w:r>
      <w:r>
        <w:lastRenderedPageBreak/>
        <w:t>dahulu sebelum seseorang dapat dinyatakan bersalah. Dengan demikian, tindak pidana tidak boleh dipahami secara bebas, tetapi harus dianalisis berdasarkan rumusan undang-undang.</w:t>
      </w:r>
      <w:r>
        <w:rPr>
          <w:rStyle w:val="FootnoteReference"/>
        </w:rPr>
        <w:footnoteReference w:id="3"/>
      </w:r>
    </w:p>
    <w:p w14:paraId="78299812" w14:textId="77777777" w:rsidR="005E6F2C" w:rsidRDefault="009C57C4">
      <w:pPr>
        <w:spacing w:line="480" w:lineRule="auto"/>
        <w:ind w:firstLine="709"/>
        <w:jc w:val="both"/>
      </w:pPr>
      <w:r>
        <w:t>Tindak pidana juga memiliki hubungan erat dengan kepentingan hukum yang dilindungi oleh negara. Hukum pidana hadir untuk melindungi kepentingan masyarakat, seperti keselamatan jiwa, kehormatan, kemerdekaan, ketertiban umum, dan hak milik. Dalam konteks pencurian dengan kekerasan, kepentingan hukum yang dilindungi bukan hanya harta benda korban, tetapi juga keselamatan fisik dan rasa aman korban sebagai warga masyarakat.</w:t>
      </w:r>
      <w:r>
        <w:rPr>
          <w:rStyle w:val="FootnoteReference"/>
        </w:rPr>
        <w:footnoteReference w:id="4"/>
      </w:r>
    </w:p>
    <w:p w14:paraId="6EBBECB0" w14:textId="77777777" w:rsidR="005E6F2C" w:rsidRDefault="009C57C4">
      <w:pPr>
        <w:spacing w:line="480" w:lineRule="auto"/>
        <w:ind w:firstLine="709"/>
        <w:jc w:val="both"/>
      </w:pPr>
      <w:r>
        <w:t>Berdasarkan pengertian tersebut, tindak pidana dapat disimpulkan sebagai perbuatan yang dilarang oleh hukum, dilakukan oleh orang yang dapat dimintai pertanggungjawaban, memiliki sifat melawan hukum, dan diancam dengan pidana. Pemahaman ini penting sebagai dasar untuk menilai apakah suatu peristiwa hukum, termasuk pencurian dengan kekerasan yang dilakukan secara bersama-sama, telah memenuhi syarat sebagai tindak pidana menurut hukum pidana Indonesia</w:t>
      </w:r>
    </w:p>
    <w:p w14:paraId="3A740969" w14:textId="77777777" w:rsidR="005E6F2C" w:rsidRDefault="009C57C4">
      <w:pPr>
        <w:pStyle w:val="Heading3"/>
        <w:ind w:firstLine="709"/>
      </w:pPr>
      <w:bookmarkStart w:id="5" w:name="_Toc232117590"/>
      <w:r>
        <w:t>2. Unsur-Unsur Tindak Pidana</w:t>
      </w:r>
      <w:bookmarkEnd w:id="5"/>
    </w:p>
    <w:p w14:paraId="1099C329" w14:textId="77777777" w:rsidR="005E6F2C" w:rsidRDefault="009C57C4">
      <w:pPr>
        <w:spacing w:line="480" w:lineRule="auto"/>
        <w:ind w:firstLine="709"/>
        <w:jc w:val="both"/>
      </w:pPr>
      <w:r>
        <w:t xml:space="preserve">Unsur-unsur tindak pidana merupakan bagian penting yang harus dibuktikan dalam setiap perkara pidana. Tanpa terpenuhinya unsur-unsur tersebut, seseorang tidak dapat dinyatakan melakukan tindak pidana. Pada umumnya, unsur tindak pidana terdiri dari unsur perbuatan, unsur melawan hukum, unsur kesalahan, unsur kemampuan bertanggung jawab, serta unsur ancaman pidana. </w:t>
      </w:r>
      <w:r>
        <w:lastRenderedPageBreak/>
        <w:t>Setiap unsur tersebut harus dianalisis secara hati-hati agar penerapan hukum tidak dilakukan secara keliru.</w:t>
      </w:r>
      <w:r>
        <w:rPr>
          <w:rStyle w:val="FootnoteReference"/>
        </w:rPr>
        <w:footnoteReference w:id="5"/>
      </w:r>
    </w:p>
    <w:p w14:paraId="75E0B057" w14:textId="77777777" w:rsidR="005E6F2C" w:rsidRDefault="009C57C4">
      <w:pPr>
        <w:spacing w:line="480" w:lineRule="auto"/>
        <w:ind w:firstLine="709"/>
        <w:jc w:val="both"/>
      </w:pPr>
      <w:r>
        <w:t>Unsur pertama dalam tindak pidana adalah adanya perbuatan manusia. Perbuatan ini dapat berupa tindakan melakukan sesuatu atau tidak melakukan sesuatu yang diwajibkan oleh hukum. Dalam perkara pencurian dengan kekerasan, perbuatan manusia dapat terlihat dari tindakan mengambil barang milik korban, melakukan kekerasan, mengancam korban, atau membantu pelaku lain dalam melakukan perbuatan tersebut.</w:t>
      </w:r>
      <w:r>
        <w:rPr>
          <w:rStyle w:val="FootnoteReference"/>
        </w:rPr>
        <w:footnoteReference w:id="6"/>
      </w:r>
    </w:p>
    <w:p w14:paraId="47D9FF81" w14:textId="77777777" w:rsidR="005E6F2C" w:rsidRDefault="009C57C4">
      <w:pPr>
        <w:spacing w:line="480" w:lineRule="auto"/>
        <w:ind w:firstLine="709"/>
        <w:jc w:val="both"/>
      </w:pPr>
      <w:r>
        <w:t>Unsur kedua adalah sifat melawan hukum. Suatu perbuatan disebut melawan hukum apabila bertentangan dengan ketentuan peraturan perundang-undangan, hak orang lain, kewajiban hukum pelaku, atau norma hukum yang berlaku dalam masyarakat. Dalam tindak pidana pencurian, sifat melawan hukum tampak dari tindakan mengambil barang yang bukan miliknya dengan maksud untuk dimiliki secara tidak sah.</w:t>
      </w:r>
      <w:r>
        <w:rPr>
          <w:rStyle w:val="FootnoteReference"/>
        </w:rPr>
        <w:footnoteReference w:id="7"/>
      </w:r>
    </w:p>
    <w:p w14:paraId="112BC21F" w14:textId="77777777" w:rsidR="005E6F2C" w:rsidRDefault="009C57C4">
      <w:pPr>
        <w:spacing w:line="480" w:lineRule="auto"/>
        <w:ind w:firstLine="709"/>
        <w:jc w:val="both"/>
      </w:pPr>
      <w:r>
        <w:t>Unsur ketiga adalah kesalahan pelaku, baik berupa kesengajaan maupun kealpaan. Kesalahan menjadi dasar penting dalam pertanggungjawaban pidana karena seseorang hanya dapat dipidana apabila ia melakukan perbuatan dengan sikap batin yang dapat dicela. Dalam pencurian dengan kekerasan, unsur kesengajaan biasanya terlihat dari adanya niat untuk mengambil barang milik korban dan penggunaan kekerasan untuk mempermudah perbuatan tersebut.</w:t>
      </w:r>
      <w:r>
        <w:rPr>
          <w:rStyle w:val="FootnoteReference"/>
        </w:rPr>
        <w:footnoteReference w:id="8"/>
      </w:r>
    </w:p>
    <w:p w14:paraId="56C2D2F6" w14:textId="77777777" w:rsidR="005E6F2C" w:rsidRDefault="009C57C4">
      <w:pPr>
        <w:spacing w:line="480" w:lineRule="auto"/>
        <w:ind w:firstLine="709"/>
        <w:jc w:val="both"/>
      </w:pPr>
      <w:r>
        <w:lastRenderedPageBreak/>
        <w:t>Unsur berikutnya adalah kemampuan bertanggung jawab. Seseorang hanya dapat dimintai pertanggungjawaban pidana apabila ia mampu memahami perbuatannya dan menyadari akibat dari perbuatan tersebut. Jika seseorang tidak memiliki kemampuan bertanggung jawab karena alasan tertentu yang diakui oleh hukum, maka pemidanaan terhadapnya dapat dikesampingkan. Oleh sebab itu, unsur tindak pidana tidak hanya menilai perbuatannya, tetapi juga keadaan pelakunya.</w:t>
      </w:r>
      <w:r>
        <w:rPr>
          <w:rStyle w:val="FootnoteReference"/>
        </w:rPr>
        <w:footnoteReference w:id="9"/>
      </w:r>
    </w:p>
    <w:p w14:paraId="0B240DF3" w14:textId="77777777" w:rsidR="005E6F2C" w:rsidRDefault="009C57C4">
      <w:pPr>
        <w:pStyle w:val="Heading3"/>
        <w:ind w:firstLine="709"/>
      </w:pPr>
      <w:bookmarkStart w:id="6" w:name="_Toc232117591"/>
      <w:r>
        <w:t>3. Jenis-Jenis Tindak Pidana</w:t>
      </w:r>
      <w:bookmarkEnd w:id="6"/>
    </w:p>
    <w:p w14:paraId="0137C9F2" w14:textId="77777777" w:rsidR="005E6F2C" w:rsidRDefault="009C57C4">
      <w:pPr>
        <w:spacing w:line="480" w:lineRule="auto"/>
        <w:ind w:firstLine="709"/>
        <w:jc w:val="both"/>
      </w:pPr>
      <w:r>
        <w:t>Jenis-jenis tindak pidana dapat dibedakan berdasarkan beberapa kategori. Salah satu pembagian yang umum dikenal adalah tindak pidana kejahatan dan pelanggaran. Kejahatan biasanya dipandang sebagai perbuatan yang lebih berat dan menyerang kepentingan hukum yang penting, sedangkan pelanggaran umumnya berkaitan dengan perbuatan yang tingkat kesalahannya lebih ringan. Pembagian ini dapat ditemukan dalam struktur Kitab Undang-Undang Hukum Pidana.</w:t>
      </w:r>
      <w:r>
        <w:rPr>
          <w:rStyle w:val="FootnoteReference"/>
        </w:rPr>
        <w:footnoteReference w:id="10"/>
      </w:r>
    </w:p>
    <w:p w14:paraId="544AF1E6" w14:textId="77777777" w:rsidR="005E6F2C" w:rsidRDefault="009C57C4">
      <w:pPr>
        <w:spacing w:line="480" w:lineRule="auto"/>
        <w:ind w:firstLine="709"/>
        <w:jc w:val="both"/>
      </w:pPr>
      <w:r>
        <w:t xml:space="preserve">Tindak pidana juga dapat dibedakan menjadi tindak pidana formil dan tindak pidana materiil. Tindak pidana formil menitikberatkan pada perbuatan yang dilarang, sehingga delik dianggap selesai ketika perbuatan tersebut dilakukan. Sementara itu, tindak pidana materiil menitikberatkan pada akibat yang </w:t>
      </w:r>
      <w:r>
        <w:lastRenderedPageBreak/>
        <w:t>ditimbulkan dari perbuatan pelaku. Pembagian ini penting untuk menentukan kapan suatu tindak pidana dianggap telah terjadi secara hukum.</w:t>
      </w:r>
      <w:r>
        <w:rPr>
          <w:rStyle w:val="FootnoteReference"/>
        </w:rPr>
        <w:footnoteReference w:id="11"/>
      </w:r>
    </w:p>
    <w:p w14:paraId="5A2EEC1B" w14:textId="77777777" w:rsidR="005E6F2C" w:rsidRDefault="009C57C4">
      <w:pPr>
        <w:spacing w:line="480" w:lineRule="auto"/>
        <w:ind w:firstLine="709"/>
        <w:jc w:val="both"/>
      </w:pPr>
      <w:r>
        <w:t>Selain itu, tindak pidana dapat dibedakan menjadi tindak pidana sengaja dan tindak pidana karena kealpaan. Tindak pidana sengaja terjadi apabila pelaku memang menghendaki perbuatannya atau mengetahui akibat yang mungkin timbul. Sementara itu, tindak pidana karena kealpaan terjadi apabila pelaku tidak berhati-hati sehingga menimbulkan akibat yang dilarang oleh hukum. Dalam pencurian dengan kekerasan, bentuk kesalahan yang dominan adalah kesengajaan.</w:t>
      </w:r>
      <w:r>
        <w:rPr>
          <w:rStyle w:val="FootnoteReference"/>
        </w:rPr>
        <w:footnoteReference w:id="12"/>
      </w:r>
    </w:p>
    <w:p w14:paraId="5524AE29" w14:textId="77777777" w:rsidR="005E6F2C" w:rsidRDefault="009C57C4">
      <w:pPr>
        <w:spacing w:line="480" w:lineRule="auto"/>
        <w:ind w:firstLine="709"/>
        <w:jc w:val="both"/>
      </w:pPr>
      <w:r>
        <w:t>Tindak pidana juga dapat dibedakan berdasarkan objek hukum yang dilindungi, seperti tindak pidana terhadap nyawa, tubuh, kehormatan, kemerdekaan, ketertiban umum, dan harta benda. Pencurian termasuk dalam tindak pidana terhadap harta benda karena menyerang hak milik seseorang. Namun, apabila pencurian dilakukan dengan kekerasan, maka perbuatan tersebut juga berkaitan dengan perlindungan terhadap tubuh dan keselamatan korban.</w:t>
      </w:r>
      <w:r>
        <w:rPr>
          <w:rStyle w:val="FootnoteReference"/>
        </w:rPr>
        <w:footnoteReference w:id="13"/>
      </w:r>
    </w:p>
    <w:p w14:paraId="7B3A3960" w14:textId="77777777" w:rsidR="005E6F2C" w:rsidRDefault="009C57C4">
      <w:pPr>
        <w:spacing w:line="480" w:lineRule="auto"/>
        <w:ind w:firstLine="709"/>
        <w:jc w:val="both"/>
      </w:pPr>
      <w:r>
        <w:t>Dengan memahami jenis-jenis tindak pidana, analisis terhadap suatu perkara dapat dilakukan secara lebih tepat. Dalam penelitian mengenai pencurian dengan kekerasan yang dilakukan secara bersama-sama, jenis tindak pidana yang dikaji adalah kejahatan terhadap harta benda yang disertai kekerasan terhadap orang. Oleh karena itu, penelitian tidak hanya membahas unsur pencurian, tetapi juga unsur kekerasan dan penyertaan pelaku dalam perbuatan pidana.</w:t>
      </w:r>
    </w:p>
    <w:p w14:paraId="03B819F4" w14:textId="77777777" w:rsidR="005E6F2C" w:rsidRDefault="009C57C4">
      <w:pPr>
        <w:pStyle w:val="Heading2"/>
        <w:rPr>
          <w:sz w:val="36"/>
          <w:szCs w:val="36"/>
        </w:rPr>
      </w:pPr>
      <w:bookmarkStart w:id="7" w:name="_Toc232117592"/>
      <w:r>
        <w:lastRenderedPageBreak/>
        <w:t xml:space="preserve">B. </w:t>
      </w:r>
      <w:r>
        <w:tab/>
      </w:r>
      <w:proofErr w:type="spellStart"/>
      <w:r>
        <w:t>Gambaran</w:t>
      </w:r>
      <w:proofErr w:type="spellEnd"/>
      <w:r>
        <w:t xml:space="preserve"> </w:t>
      </w:r>
      <w:proofErr w:type="spellStart"/>
      <w:r>
        <w:t>Umum</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bookmarkEnd w:id="7"/>
      <w:proofErr w:type="spellEnd"/>
    </w:p>
    <w:p w14:paraId="48C865B4" w14:textId="77777777" w:rsidR="005E6F2C" w:rsidRDefault="009C57C4">
      <w:pPr>
        <w:pStyle w:val="Heading3"/>
        <w:ind w:firstLine="709"/>
      </w:pPr>
      <w:bookmarkStart w:id="8" w:name="_Toc232117593"/>
      <w:r>
        <w:t>1. Pengertian Pencurian</w:t>
      </w:r>
      <w:bookmarkEnd w:id="8"/>
    </w:p>
    <w:p w14:paraId="4AF28FD8" w14:textId="77777777" w:rsidR="005E6F2C" w:rsidRDefault="009C57C4">
      <w:pPr>
        <w:spacing w:line="480" w:lineRule="auto"/>
        <w:ind w:firstLine="709"/>
        <w:jc w:val="both"/>
      </w:pPr>
      <w:r>
        <w:t>Pencurian merupakan salah satu tindak pidana terhadap harta benda yang paling sering terjadi dalam masyarakat. Secara umum, pencurian dapat dipahami sebagai perbuatan mengambil barang milik orang lain dengan maksud untuk dimiliki secara melawan hukum. Dalam hukum pidana, pencurian tidak hanya dilihat dari adanya barang yang berpindah dari korban kepada pelaku, tetapi juga dari adanya niat jahat pelaku untuk menguasai barang tersebut tanpa hak.</w:t>
      </w:r>
      <w:r>
        <w:rPr>
          <w:rStyle w:val="FootnoteReference"/>
        </w:rPr>
        <w:footnoteReference w:id="14"/>
      </w:r>
    </w:p>
    <w:p w14:paraId="5685290F" w14:textId="77777777" w:rsidR="005E6F2C" w:rsidRDefault="009C57C4">
      <w:pPr>
        <w:spacing w:line="480" w:lineRule="auto"/>
        <w:ind w:firstLine="709"/>
        <w:jc w:val="both"/>
      </w:pPr>
      <w:r>
        <w:t>Pencurian dalam KUHP merupakan delik yang menyerang hak milik seseorang. Hak milik sebagai kepentingan hukum perlu dilindungi karena berkaitan dengan rasa aman, ketertiban, dan kepastian hukum dalam masyarakat. Apabila hak milik seseorang dapat diambil secara bebas oleh orang lain, maka kehidupan sosial akan terganggu dan masyarakat kehilangan rasa aman terhadap benda yang dimilikinya.</w:t>
      </w:r>
      <w:r>
        <w:rPr>
          <w:rStyle w:val="FootnoteReference"/>
        </w:rPr>
        <w:footnoteReference w:id="15"/>
      </w:r>
    </w:p>
    <w:p w14:paraId="4D850B40" w14:textId="77777777" w:rsidR="005E6F2C" w:rsidRDefault="009C57C4">
      <w:pPr>
        <w:spacing w:line="480" w:lineRule="auto"/>
        <w:ind w:firstLine="709"/>
        <w:jc w:val="both"/>
      </w:pPr>
      <w:r>
        <w:t>Pengertian pencurian juga harus dipahami dari unsur “mengambil”. Mengambil berarti memindahkan suatu barang dari tempat semula ke dalam kekuasaan pelaku, baik secara langsung maupun tidak langsung. Perbuatan mengambil tersebut harus dilakukan tanpa izin atau tanpa hak dari pemilik barang. Oleh karena itu, unsur mengambil menjadi bagian penting dalam menentukan apakah suatu perbuatan dapat dikualifikasikan sebagai pencurian.</w:t>
      </w:r>
      <w:r>
        <w:rPr>
          <w:rStyle w:val="FootnoteReference"/>
        </w:rPr>
        <w:footnoteReference w:id="16"/>
      </w:r>
    </w:p>
    <w:p w14:paraId="040D782F" w14:textId="77777777" w:rsidR="005E6F2C" w:rsidRDefault="009C57C4">
      <w:pPr>
        <w:spacing w:line="480" w:lineRule="auto"/>
        <w:ind w:firstLine="709"/>
        <w:jc w:val="both"/>
      </w:pPr>
      <w:r>
        <w:lastRenderedPageBreak/>
        <w:t>Selain unsur mengambil, pencurian juga mensyaratkan bahwa barang yang diambil adalah milik orang lain, baik seluruhnya maupun sebagian. Artinya, seseorang tidak dapat disebut mencuri apabila barang yang diambil sepenuhnya merupakan miliknya sendiri. Namun, apabila barang tersebut sebagian merupakan milik orang lain, maka pengambilan secara sepihak tetap dapat menimbulkan pertanggungjawaban pidana.</w:t>
      </w:r>
      <w:r>
        <w:rPr>
          <w:rStyle w:val="FootnoteReference"/>
        </w:rPr>
        <w:footnoteReference w:id="17"/>
      </w:r>
    </w:p>
    <w:p w14:paraId="13C86610" w14:textId="77777777" w:rsidR="005E6F2C" w:rsidRDefault="009C57C4">
      <w:pPr>
        <w:spacing w:line="480" w:lineRule="auto"/>
        <w:ind w:firstLine="709"/>
        <w:jc w:val="both"/>
      </w:pPr>
      <w:r>
        <w:t>Dengan demikian, pencurian dapat disimpulkan sebagai perbuatan mengambil barang milik orang lain secara melawan hukum dengan maksud untuk dimiliki. Dalam konteks penelitian ini, pengertian pencurian menjadi dasar awal untuk memahami tindak pidana pencurian dengan kekerasan, karena Pasal 365 KUHP tetap berangkat dari unsur utama pencurian, lalu diperberat karena adanya kekerasan atau ancaman kekerasan terhadap korban.</w:t>
      </w:r>
    </w:p>
    <w:p w14:paraId="0A003621" w14:textId="77777777" w:rsidR="005E6F2C" w:rsidRDefault="009C57C4">
      <w:pPr>
        <w:pStyle w:val="Heading3"/>
        <w:ind w:firstLine="709"/>
      </w:pPr>
      <w:bookmarkStart w:id="9" w:name="_Toc232117594"/>
      <w:r>
        <w:t>2. Dasar Hukum Tindak Pidana Pencurian dalam KUHP</w:t>
      </w:r>
      <w:bookmarkEnd w:id="9"/>
    </w:p>
    <w:p w14:paraId="452939F3" w14:textId="77777777" w:rsidR="005E6F2C" w:rsidRDefault="009C57C4">
      <w:pPr>
        <w:spacing w:line="480" w:lineRule="auto"/>
        <w:ind w:firstLine="709"/>
        <w:jc w:val="both"/>
      </w:pPr>
      <w:r>
        <w:t>Dasar hukum utama tindak pidana pencurian dalam KUHP terdapat dalam Pasal 362 KUHP. Pasal tersebut menyatakan bahwa barang siapa mengambil sesuatu barang, yang seluruhnya atau sebagian kepunyaan orang lain, dengan maksud untuk dimiliki secara melawan hukum, diancam karena pencurian. Rumusan ini menjadi dasar umum untuk menilai semua bentuk pencurian, termasuk pencurian dengan pemberatan maupun pencurian dengan kekerasan.</w:t>
      </w:r>
      <w:r>
        <w:rPr>
          <w:rStyle w:val="FootnoteReference"/>
        </w:rPr>
        <w:footnoteReference w:id="18"/>
      </w:r>
    </w:p>
    <w:p w14:paraId="59A0EE53" w14:textId="77777777" w:rsidR="005E6F2C" w:rsidRDefault="009C57C4">
      <w:pPr>
        <w:spacing w:line="480" w:lineRule="auto"/>
        <w:ind w:firstLine="709"/>
        <w:jc w:val="both"/>
      </w:pPr>
      <w:r>
        <w:t xml:space="preserve">Pasal 362 KUHP dikenal sebagai bentuk pencurian biasa. Disebut pencurian biasa karena pasal ini hanya mengatur unsur pokok pencurian tanpa adanya keadaan yang memberatkan. Unsur pokok tersebut meliputi perbuatan mengambil, objek berupa barang, barang milik orang lain, dan maksud untuk </w:t>
      </w:r>
      <w:r>
        <w:lastRenderedPageBreak/>
        <w:t>memiliki secara melawan hukum. Apabila unsur-unsur tersebut terpenuhi, maka perbuatan pelaku dapat dikenakan Pasal 362 KUHP.</w:t>
      </w:r>
      <w:r>
        <w:rPr>
          <w:rStyle w:val="FootnoteReference"/>
        </w:rPr>
        <w:footnoteReference w:id="19"/>
      </w:r>
    </w:p>
    <w:p w14:paraId="0DE3D832" w14:textId="77777777" w:rsidR="005E6F2C" w:rsidRDefault="009C57C4">
      <w:pPr>
        <w:spacing w:line="480" w:lineRule="auto"/>
        <w:ind w:firstLine="709"/>
        <w:jc w:val="both"/>
      </w:pPr>
      <w:r>
        <w:t>Selain Pasal 362 KUHP, KUHP juga mengenal pencurian dengan pemberatan sebagaimana diatur dalam Pasal 363 KUHP. Pencurian dengan pemberatan terjadi apabila pencurian dilakukan dalam keadaan tertentu, misalnya pada waktu malam, dilakukan oleh dua orang atau lebih, atau dilakukan dengan cara merusak, memanjat, atau menggunakan anak kunci palsu. Ketentuan ini menunjukkan bahwa hukum pidana memberikan ancaman lebih berat terhadap pencurian yang dilakukan dalam situasi tertentu.</w:t>
      </w:r>
      <w:r>
        <w:rPr>
          <w:rStyle w:val="FootnoteReference"/>
        </w:rPr>
        <w:footnoteReference w:id="20"/>
      </w:r>
    </w:p>
    <w:p w14:paraId="78E9BB2B" w14:textId="77777777" w:rsidR="005E6F2C" w:rsidRDefault="009C57C4">
      <w:pPr>
        <w:spacing w:line="480" w:lineRule="auto"/>
        <w:ind w:firstLine="709"/>
        <w:jc w:val="both"/>
      </w:pPr>
      <w:r>
        <w:t>Selanjutnya, Pasal 365 KUHP mengatur mengenai pencurian dengan kekerasan. Dalam pasal ini, pencurian menjadi lebih berat karena dilakukan dengan didahului, disertai, atau diikuti kekerasan atau ancaman kekerasan terhadap orang. Kekerasan tersebut dapat dilakukan untuk mempersiapkan, mempermudah, memungkinkan pelarian, atau mempertahankan barang yang dicuri. Oleh sebab itu, Pasal 365 KUHP memiliki karakter yang lebih serius dibandingkan pencurian biasa.</w:t>
      </w:r>
      <w:r>
        <w:rPr>
          <w:rStyle w:val="FootnoteReference"/>
        </w:rPr>
        <w:footnoteReference w:id="21"/>
      </w:r>
    </w:p>
    <w:p w14:paraId="39BE6BFD" w14:textId="77777777" w:rsidR="005E6F2C" w:rsidRDefault="009C57C4">
      <w:pPr>
        <w:spacing w:line="480" w:lineRule="auto"/>
        <w:ind w:firstLine="709"/>
        <w:jc w:val="both"/>
      </w:pPr>
      <w:r>
        <w:t xml:space="preserve">Dalam penelitian ini, dasar hukum yang paling relevan adalah Pasal 365 KUHP karena perkara yang dikaji berkaitan dengan pencurian yang disertai kekerasan dan dilakukan secara bersama-sama. Namun, pemahaman terhadap Pasal 362 KUHP tetap diperlukan karena Pasal 365 KUHP tidak dapat dilepaskan dari unsur pokok pencurian. Dengan kata lain, sebelum membuktikan adanya </w:t>
      </w:r>
      <w:r>
        <w:lastRenderedPageBreak/>
        <w:t>kekerasan, terlebih dahulu harus dibuktikan bahwa telah terjadi perbuatan pencurian.</w:t>
      </w:r>
    </w:p>
    <w:p w14:paraId="59419D0E" w14:textId="77777777" w:rsidR="005E6F2C" w:rsidRDefault="009C57C4">
      <w:pPr>
        <w:pStyle w:val="Heading3"/>
        <w:ind w:firstLine="709"/>
      </w:pPr>
      <w:bookmarkStart w:id="10" w:name="_Toc232117595"/>
      <w:r>
        <w:t>3. Unsur-Unsur Tindak Pidana Pencurian</w:t>
      </w:r>
      <w:bookmarkEnd w:id="10"/>
    </w:p>
    <w:p w14:paraId="4532FB40" w14:textId="77777777" w:rsidR="005E6F2C" w:rsidRDefault="009C57C4">
      <w:pPr>
        <w:spacing w:line="480" w:lineRule="auto"/>
        <w:ind w:firstLine="709"/>
        <w:jc w:val="both"/>
      </w:pPr>
      <w:r>
        <w:t>Unsur pertama tindak pidana pencurian adalah adanya perbuatan mengambil. Perbuatan mengambil berarti adanya tindakan pelaku untuk memindahkan barang dari penguasaan korban ke dalam penguasaan pelaku. Unsur ini tidak selalu harus dilakukan dengan membawa barang secara jauh, karena yang terpenting adalah barang tersebut telah berada dalam kekuasaan pelaku secara nyata.</w:t>
      </w:r>
      <w:r>
        <w:rPr>
          <w:rStyle w:val="FootnoteReference"/>
        </w:rPr>
        <w:footnoteReference w:id="22"/>
      </w:r>
    </w:p>
    <w:p w14:paraId="4FDDA5EF" w14:textId="77777777" w:rsidR="005E6F2C" w:rsidRDefault="009C57C4">
      <w:pPr>
        <w:spacing w:line="480" w:lineRule="auto"/>
        <w:ind w:firstLine="709"/>
        <w:jc w:val="both"/>
      </w:pPr>
      <w:r>
        <w:t>Unsur kedua adalah adanya sesuatu barang sebagai objek pencurian. Barang yang dimaksud dalam tindak pidana pencurian tidak terbatas pada benda bernilai besar, tetapi mencakup setiap benda yang memiliki nilai dan dapat dikuasai. Dalam perkara pencurian dengan kekerasan, objek yang diambil dapat berupa sepeda motor, handphone, dompet, uang, atau benda lain yang berada dalam penguasaan korban.</w:t>
      </w:r>
      <w:r>
        <w:rPr>
          <w:rStyle w:val="FootnoteReference"/>
        </w:rPr>
        <w:footnoteReference w:id="23"/>
      </w:r>
    </w:p>
    <w:p w14:paraId="053399F2" w14:textId="77777777" w:rsidR="005E6F2C" w:rsidRDefault="009C57C4">
      <w:pPr>
        <w:spacing w:line="480" w:lineRule="auto"/>
        <w:ind w:firstLine="709"/>
        <w:jc w:val="both"/>
      </w:pPr>
      <w:r>
        <w:t>Unsur ketiga adalah barang tersebut seluruhnya atau sebagian milik orang lain. Unsur ini menegaskan bahwa pencurian hanya terjadi apabila barang yang diambil bukan sepenuhnya milik pelaku. Apabila barang tersebut masih memiliki hubungan kepemilikan dengan orang lain, maka pengambilan tanpa hak dapat dikategorikan sebagai perbuatan melawan hukum.</w:t>
      </w:r>
      <w:r>
        <w:rPr>
          <w:rStyle w:val="FootnoteReference"/>
        </w:rPr>
        <w:footnoteReference w:id="24"/>
      </w:r>
    </w:p>
    <w:p w14:paraId="27A57D68" w14:textId="77777777" w:rsidR="005E6F2C" w:rsidRDefault="009C57C4">
      <w:pPr>
        <w:spacing w:line="480" w:lineRule="auto"/>
        <w:ind w:firstLine="709"/>
        <w:jc w:val="both"/>
      </w:pPr>
      <w:r>
        <w:t xml:space="preserve">Unsur keempat adalah adanya maksud untuk memiliki barang secara melawan hukum. Maksud untuk memiliki menunjukkan adanya kehendak pelaku </w:t>
      </w:r>
      <w:r>
        <w:lastRenderedPageBreak/>
        <w:t>untuk memperlakukan barang tersebut seolah-olah sebagai miliknya sendiri. Sementara itu, sifat melawan hukum menunjukkan bahwa penguasaan terhadap barang dilakukan tanpa hak, tanpa izin, dan bertentangan dengan hukum.</w:t>
      </w:r>
      <w:r>
        <w:rPr>
          <w:rStyle w:val="FootnoteReference"/>
        </w:rPr>
        <w:footnoteReference w:id="25"/>
      </w:r>
    </w:p>
    <w:p w14:paraId="12C8C3DE" w14:textId="77777777" w:rsidR="005E6F2C" w:rsidRDefault="009C57C4">
      <w:pPr>
        <w:spacing w:line="480" w:lineRule="auto"/>
        <w:ind w:firstLine="709"/>
        <w:jc w:val="both"/>
      </w:pPr>
      <w:r>
        <w:t>Keempat unsur tersebut harus dibuktikan secara kumulatif. Artinya, apabila salah satu unsur tidak terpenuhi, maka perbuatan pelaku tidak dapat dikualifikasikan sebagai pencurian. Dalam kaitannya dengan Pasal 365 KUHP, unsur pencurian tersebut harus terlebih dahulu terbukti sebelum unsur kekerasan dan unsur dilakukan secara bersama-sama dianalisis lebih lanjut.</w:t>
      </w:r>
      <w:r>
        <w:rPr>
          <w:rStyle w:val="FootnoteReference"/>
        </w:rPr>
        <w:footnoteReference w:id="26"/>
      </w:r>
    </w:p>
    <w:p w14:paraId="3B0EE142" w14:textId="77777777" w:rsidR="005E6F2C" w:rsidRDefault="009C57C4">
      <w:pPr>
        <w:pStyle w:val="Heading3"/>
        <w:ind w:firstLine="709"/>
      </w:pPr>
      <w:bookmarkStart w:id="11" w:name="_Toc232117596"/>
      <w:r>
        <w:t>4. Jenis-Jenis Pencurian</w:t>
      </w:r>
      <w:bookmarkEnd w:id="11"/>
    </w:p>
    <w:p w14:paraId="44E47100" w14:textId="77777777" w:rsidR="005E6F2C" w:rsidRDefault="009C57C4">
      <w:pPr>
        <w:spacing w:line="480" w:lineRule="auto"/>
        <w:ind w:firstLine="709"/>
        <w:jc w:val="both"/>
      </w:pPr>
      <w:r>
        <w:t>Jenis pencurian yang pertama adalah pencurian biasa sebagaimana diatur dalam Pasal 362 KUHP. Pencurian biasa terjadi apabila seseorang mengambil barang milik orang lain dengan maksud untuk dimiliki secara melawan hukum tanpa disertai keadaan yang memberatkan. Jenis pencurian ini menjadi bentuk dasar dari seluruh ketentuan pencurian dalam KUHP.</w:t>
      </w:r>
      <w:r>
        <w:rPr>
          <w:rStyle w:val="FootnoteReference"/>
        </w:rPr>
        <w:footnoteReference w:id="27"/>
      </w:r>
    </w:p>
    <w:p w14:paraId="0ACFE68B" w14:textId="77777777" w:rsidR="005E6F2C" w:rsidRDefault="009C57C4">
      <w:pPr>
        <w:spacing w:line="480" w:lineRule="auto"/>
        <w:ind w:firstLine="709"/>
        <w:jc w:val="both"/>
      </w:pPr>
      <w:r>
        <w:t>Jenis kedua adalah pencurian dengan pemberatan sebagaimana diatur dalam Pasal 363 KUHP. Pencurian ini disebut dengan pemberatan karena dilakukan dalam keadaan tertentu yang dianggap lebih berbahaya atau lebih merugikan masyarakat. Misalnya pencurian ternak, pencurian pada waktu malam, pencurian oleh dua orang atau lebih, atau pencurian dengan cara merusak dan memanjat.</w:t>
      </w:r>
      <w:r>
        <w:rPr>
          <w:rStyle w:val="FootnoteReference"/>
        </w:rPr>
        <w:footnoteReference w:id="28"/>
      </w:r>
    </w:p>
    <w:p w14:paraId="64CC184B" w14:textId="77777777" w:rsidR="005E6F2C" w:rsidRDefault="009C57C4">
      <w:pPr>
        <w:spacing w:line="480" w:lineRule="auto"/>
        <w:ind w:firstLine="709"/>
        <w:jc w:val="both"/>
      </w:pPr>
      <w:r>
        <w:lastRenderedPageBreak/>
        <w:t>Jenis ketiga adalah pencurian ringan sebagaimana diatur dalam Pasal 364 KUHP. Pencurian ringan pada umumnya berkaitan dengan nilai barang yang relatif kecil dan keadaan perbuatan yang tidak termasuk dalam bentuk pemberatan tertentu. Ketentuan ini menunjukkan bahwa KUHP membedakan pencurian berdasarkan tingkat keseriusan perbuatan dan akibat yang ditimbulkan.</w:t>
      </w:r>
      <w:r>
        <w:rPr>
          <w:rStyle w:val="FootnoteReference"/>
        </w:rPr>
        <w:footnoteReference w:id="29"/>
      </w:r>
    </w:p>
    <w:p w14:paraId="04CCDF20" w14:textId="77777777" w:rsidR="005E6F2C" w:rsidRDefault="009C57C4">
      <w:pPr>
        <w:spacing w:line="480" w:lineRule="auto"/>
        <w:ind w:firstLine="709"/>
        <w:jc w:val="both"/>
      </w:pPr>
      <w:r>
        <w:t>Jenis keempat adalah pencurian dengan kekerasan sebagaimana diatur dalam Pasal 365 KUHP. Pencurian ini merupakan bentuk pencurian yang lebih berat karena dilakukan dengan kekerasan atau ancaman kekerasan terhadap orang. Kekerasan dapat terjadi sebelum, pada saat, atau setelah pencurian dilakukan. Oleh karena itu, pencurian dengan kekerasan tidak hanya menyerang harta benda, tetapi juga keselamatan fisik korban.</w:t>
      </w:r>
      <w:r>
        <w:rPr>
          <w:rStyle w:val="FootnoteReference"/>
        </w:rPr>
        <w:footnoteReference w:id="30"/>
      </w:r>
    </w:p>
    <w:p w14:paraId="6DCCE7BF" w14:textId="31AD5F9A" w:rsidR="005E6F2C" w:rsidRDefault="009C57C4">
      <w:pPr>
        <w:spacing w:line="480" w:lineRule="auto"/>
        <w:ind w:firstLine="709"/>
        <w:jc w:val="both"/>
      </w:pPr>
      <w:r>
        <w:t>Jenis kelima adalah pencurian dalam keluarga sebagaimana diatur dalam Pasal 367 KUHP. Pencurian ini memiliki karakter khusus karena berkaitan dengan hubungan keluarga antara pelaku dan korban. Dalam beberapa keadaan, penuntutan terhadap pelaku bergantung pada adanya pengaduan dari pihak yang dirugikan. Pembagian jenis-jenis pencurian ini penting untuk menentukan pasal yang tepat terhadap suatu peristiwa pidana.</w:t>
      </w:r>
      <w:r>
        <w:rPr>
          <w:rStyle w:val="FootnoteReference"/>
        </w:rPr>
        <w:footnoteReference w:id="31"/>
      </w:r>
    </w:p>
    <w:p w14:paraId="68E3826B" w14:textId="77777777" w:rsidR="005E6F2C" w:rsidRDefault="009C57C4">
      <w:pPr>
        <w:pStyle w:val="Heading2"/>
        <w:rPr>
          <w:sz w:val="36"/>
          <w:szCs w:val="36"/>
        </w:rPr>
      </w:pPr>
      <w:bookmarkStart w:id="12" w:name="_Toc232117597"/>
      <w:r>
        <w:t xml:space="preserve">C. </w:t>
      </w:r>
      <w:r>
        <w:tab/>
      </w:r>
      <w:proofErr w:type="spellStart"/>
      <w:r>
        <w:t>Gambaran</w:t>
      </w:r>
      <w:proofErr w:type="spellEnd"/>
      <w:r>
        <w:t xml:space="preserve"> </w:t>
      </w:r>
      <w:proofErr w:type="spellStart"/>
      <w:r>
        <w:t>Umum</w:t>
      </w:r>
      <w:proofErr w:type="spellEnd"/>
      <w:r>
        <w:t xml:space="preserve"> </w:t>
      </w:r>
      <w:proofErr w:type="spellStart"/>
      <w:r>
        <w:t>Pencurian</w:t>
      </w:r>
      <w:proofErr w:type="spellEnd"/>
      <w:r>
        <w:t xml:space="preserve"> yang </w:t>
      </w:r>
      <w:proofErr w:type="spellStart"/>
      <w:r>
        <w:t>Dilakukan</w:t>
      </w:r>
      <w:proofErr w:type="spellEnd"/>
      <w:r>
        <w:t xml:space="preserve"> </w:t>
      </w:r>
      <w:proofErr w:type="spellStart"/>
      <w:r>
        <w:t>Secara</w:t>
      </w:r>
      <w:proofErr w:type="spellEnd"/>
      <w:r>
        <w:t xml:space="preserve"> Bersama-Sama</w:t>
      </w:r>
      <w:bookmarkEnd w:id="12"/>
    </w:p>
    <w:p w14:paraId="7B0F42C5" w14:textId="77777777" w:rsidR="005E6F2C" w:rsidRDefault="009C57C4">
      <w:pPr>
        <w:pStyle w:val="Heading3"/>
        <w:ind w:firstLine="720"/>
      </w:pPr>
      <w:bookmarkStart w:id="13" w:name="_Toc232117598"/>
      <w:r>
        <w:t>1. Pengertian Penyertaan (</w:t>
      </w:r>
      <w:r>
        <w:rPr>
          <w:rStyle w:val="Emphasis"/>
        </w:rPr>
        <w:t>Deelneming</w:t>
      </w:r>
      <w:r>
        <w:t>) dalam Hukum Pidana</w:t>
      </w:r>
      <w:bookmarkEnd w:id="13"/>
    </w:p>
    <w:p w14:paraId="13818218" w14:textId="77777777" w:rsidR="005E6F2C" w:rsidRDefault="009C57C4">
      <w:pPr>
        <w:spacing w:line="480" w:lineRule="auto"/>
        <w:ind w:firstLine="709"/>
        <w:jc w:val="both"/>
      </w:pPr>
      <w:r>
        <w:t xml:space="preserve">Penyertaan atau deelneming dalam hukum pidana merupakan keadaan ketika suatu tindak pidana tidak hanya dilakukan oleh satu orang, tetapi melibatkan dua orang atau lebih. Dalam keadaan demikian, hukum pidana perlu </w:t>
      </w:r>
      <w:r>
        <w:lastRenderedPageBreak/>
        <w:t>menentukan kedudukan masing-masing orang yang terlibat, apakah sebagai pelaku utama, turut serta melakukan, menyuruh melakukan, menganjurkan, atau membantu melakukan tindak pidana. Konsep penyertaan menjadi penting karena tidak semua orang yang berada dalam suatu peristiwa pidana memiliki peran dan tanggung jawab yang sama.</w:t>
      </w:r>
      <w:r>
        <w:rPr>
          <w:rStyle w:val="FootnoteReference"/>
        </w:rPr>
        <w:footnoteReference w:id="32"/>
      </w:r>
    </w:p>
    <w:p w14:paraId="6A689660" w14:textId="77777777" w:rsidR="005E6F2C" w:rsidRDefault="009C57C4">
      <w:pPr>
        <w:spacing w:line="480" w:lineRule="auto"/>
        <w:ind w:firstLine="709"/>
        <w:jc w:val="both"/>
      </w:pPr>
      <w:r>
        <w:t>Dalam tindak pidana pencurian yang dilakukan secara bersama-sama, penyertaan dapat terlihat dari adanya kerja sama antara beberapa orang dalam melakukan perbuatan pidana. Kerja sama tersebut dapat berbentuk pembagian tugas, misalnya ada yang melakukan kekerasan terhadap korban, ada yang mengambil barang, ada yang mengawasi keadaan sekitar, atau ada yang membantu pelaku melarikan diri. Oleh karena itu, penyertaan tidak hanya dinilai dari siapa yang mengambil barang secara langsung, tetapi juga dari hubungan peran antar pelaku.</w:t>
      </w:r>
      <w:r>
        <w:rPr>
          <w:rStyle w:val="FootnoteReference"/>
        </w:rPr>
        <w:footnoteReference w:id="33"/>
      </w:r>
    </w:p>
    <w:p w14:paraId="495DE1E7" w14:textId="77777777" w:rsidR="005E6F2C" w:rsidRDefault="009C57C4">
      <w:pPr>
        <w:spacing w:line="480" w:lineRule="auto"/>
        <w:ind w:firstLine="709"/>
        <w:jc w:val="both"/>
      </w:pPr>
      <w:r>
        <w:t>Penyertaan dalam hukum pidana pada dasarnya bertujuan untuk memperluas pertanggungjawaban pidana terhadap orang-orang yang ikut berperan dalam terjadinya tindak pidana. Apabila hukum pidana hanya menghukum orang yang melakukan perbuatan secara langsung, maka pihak lain yang membantu atau mendorong terjadinya kejahatan dapat terlepas dari tanggung jawab. Oleh sebab itu, penyertaan menjadi instrumen penting untuk menjangkau seluruh pihak yang secara sadar terlibat dalam tindak pidana.</w:t>
      </w:r>
      <w:r>
        <w:rPr>
          <w:rStyle w:val="FootnoteReference"/>
        </w:rPr>
        <w:footnoteReference w:id="34"/>
      </w:r>
    </w:p>
    <w:p w14:paraId="31B02C84" w14:textId="77777777" w:rsidR="005E6F2C" w:rsidRDefault="009C57C4">
      <w:pPr>
        <w:spacing w:line="480" w:lineRule="auto"/>
        <w:ind w:firstLine="709"/>
        <w:jc w:val="both"/>
      </w:pPr>
      <w:r>
        <w:t xml:space="preserve">Dalam konteks pencurian dengan kekerasan, penyertaan memiliki kedudukan yang sangat penting karena kejahatan seperti ini sering dilakukan </w:t>
      </w:r>
      <w:r>
        <w:lastRenderedPageBreak/>
        <w:t>secara berkelompok. Keberadaan lebih dari satu pelaku dapat meningkatkan keberanian pelaku, memperbesar tekanan terhadap korban, dan mempermudah keberhasilan tindak pidana. Dengan demikian, analisis penyertaan diperlukan untuk melihat apakah para pelaku memiliki kehendak bersama dan kesadaran untuk melakukan pencurian dengan kekerasan.</w:t>
      </w:r>
      <w:r>
        <w:rPr>
          <w:rStyle w:val="FootnoteReference"/>
        </w:rPr>
        <w:footnoteReference w:id="35"/>
      </w:r>
    </w:p>
    <w:p w14:paraId="4EA89660" w14:textId="77777777" w:rsidR="005E6F2C" w:rsidRDefault="009C57C4">
      <w:pPr>
        <w:spacing w:line="480" w:lineRule="auto"/>
        <w:ind w:firstLine="709"/>
        <w:jc w:val="both"/>
      </w:pPr>
      <w:r>
        <w:t>Berdasarkan uraian tersebut, penyertaan dapat dipahami sebagai keterlibatan beberapa orang dalam suatu tindak pidana yang masing-masing dapat dimintai pertanggungjawaban sesuai dengan peran dan kontribusinya. Dalam penelitian ini, konsep penyertaan digunakan untuk menganalisis pencurian dengan kekerasan yang dilakukan secara bersama-sama sebagaimana tergambar dalam BAP di Polsek Dolok Masihul.</w:t>
      </w:r>
    </w:p>
    <w:p w14:paraId="349DB339" w14:textId="77777777" w:rsidR="005E6F2C" w:rsidRDefault="009C57C4">
      <w:pPr>
        <w:pStyle w:val="Heading3"/>
      </w:pPr>
      <w:bookmarkStart w:id="14" w:name="_Toc232117599"/>
      <w:r>
        <w:t xml:space="preserve">2. </w:t>
      </w:r>
      <w:r>
        <w:tab/>
        <w:t>Dasar Hukum Penyertaan (Pasal 55 dan 56 KUHP)</w:t>
      </w:r>
      <w:bookmarkEnd w:id="14"/>
    </w:p>
    <w:p w14:paraId="20F15D16" w14:textId="77777777" w:rsidR="005E6F2C" w:rsidRDefault="009C57C4">
      <w:pPr>
        <w:spacing w:line="480" w:lineRule="auto"/>
        <w:ind w:firstLine="709"/>
        <w:jc w:val="both"/>
      </w:pPr>
      <w:r>
        <w:t>Dasar hukum penyertaan dalam KUHP diatur dalam Pasal 55 dan Pasal 56 KUHP. Pasal 55 KUHP mengatur pihak-pihak yang dapat dipidana sebagai pelaku tindak pidana, yaitu orang yang melakukan, menyuruh melakukan, turut serta melakukan, dan orang yang menganjurkan orang lain untuk melakukan tindak pidana. Ketentuan ini menunjukkan bahwa pelaku tindak pidana tidak selalu terbatas pada orang yang secara fisik melakukan seluruh perbuatan pidana.</w:t>
      </w:r>
      <w:r>
        <w:rPr>
          <w:rStyle w:val="FootnoteReference"/>
        </w:rPr>
        <w:footnoteReference w:id="36"/>
      </w:r>
    </w:p>
    <w:p w14:paraId="668CE47D" w14:textId="77777777" w:rsidR="005E6F2C" w:rsidRDefault="009C57C4">
      <w:pPr>
        <w:spacing w:line="480" w:lineRule="auto"/>
        <w:ind w:firstLine="709"/>
        <w:jc w:val="both"/>
      </w:pPr>
      <w:r>
        <w:t xml:space="preserve">Pasal 55 KUHP memiliki peran penting dalam menentukan pertanggungjawaban pidana terhadap beberapa orang yang terlibat secara aktif dalam tindak pidana. Dalam pencurian dengan kekerasan yang dilakukan bersama-sama, seseorang dapat dianggap turut serta melakukan apabila ia bekerja </w:t>
      </w:r>
      <w:r>
        <w:lastRenderedPageBreak/>
        <w:t>sama secara sadar dengan pelaku lain untuk mewujudkan tindak pidana. Dengan demikian, adanya kesengajaan bersama menjadi hal penting dalam membuktikan penyertaan.</w:t>
      </w:r>
      <w:r>
        <w:rPr>
          <w:rStyle w:val="FootnoteReference"/>
        </w:rPr>
        <w:footnoteReference w:id="37"/>
      </w:r>
    </w:p>
    <w:p w14:paraId="462684E6" w14:textId="77777777" w:rsidR="005E6F2C" w:rsidRDefault="009C57C4">
      <w:pPr>
        <w:spacing w:line="480" w:lineRule="auto"/>
        <w:ind w:firstLine="709"/>
        <w:jc w:val="both"/>
      </w:pPr>
      <w:r>
        <w:t>Selain Pasal 55 KUHP, Pasal 56 KUHP mengatur mengenai pembantuan dalam tindak pidana. Pembantuan terjadi apabila seseorang dengan sengaja memberi bantuan pada waktu kejahatan dilakukan atau memberikan kesempatan, sarana, atau keterangan untuk melakukan kejahatan. Berbeda dengan turut serta melakukan, pembantu biasanya memiliki peran yang tidak sekuat pelaku utama, tetapi tetap memberi kontribusi terhadap terjadinya tindak pidana.</w:t>
      </w:r>
      <w:r>
        <w:rPr>
          <w:rStyle w:val="FootnoteReference"/>
        </w:rPr>
        <w:footnoteReference w:id="38"/>
      </w:r>
    </w:p>
    <w:p w14:paraId="4EC53E33" w14:textId="77777777" w:rsidR="005E6F2C" w:rsidRDefault="009C57C4">
      <w:pPr>
        <w:spacing w:line="480" w:lineRule="auto"/>
        <w:ind w:firstLine="709"/>
        <w:jc w:val="both"/>
      </w:pPr>
      <w:r>
        <w:t>Perbedaan antara turut serta melakukan dan membantu melakukan perlu dipahami secara cermat. Turut serta melakukan menunjukkan adanya kerja sama yang erat dan aktif dalam pelaksanaan tindak pidana, sedangkan membantu melakukan lebih menekankan pada dukungan atau bantuan yang mempermudah terjadinya tindak pidana. Perbedaan ini penting karena dapat memengaruhi tingkat pertanggungjawaban pidana dan berat ringannya pidana yang dijatuhkan.</w:t>
      </w:r>
      <w:r>
        <w:rPr>
          <w:rStyle w:val="FootnoteReference"/>
        </w:rPr>
        <w:footnoteReference w:id="39"/>
      </w:r>
    </w:p>
    <w:p w14:paraId="7FF011C6" w14:textId="77777777" w:rsidR="005E6F2C" w:rsidRDefault="009C57C4">
      <w:pPr>
        <w:spacing w:line="480" w:lineRule="auto"/>
        <w:ind w:firstLine="709"/>
        <w:jc w:val="both"/>
      </w:pPr>
      <w:r>
        <w:t>Dalam penelitian ini, Pasal 55 dan Pasal 56 KUHP menjadi dasar penting untuk menganalisis keterlibatan para pelaku dalam perkara pencurian dengan kekerasan. Melalui ketentuan tersebut, dapat dilihat apakah masing-masing orang yang terlibat dapat dikualifikasikan sebagai pelaku, turut serta melakukan, atau hanya membantu melakukan tindak pidana.</w:t>
      </w:r>
    </w:p>
    <w:p w14:paraId="37E6E4AC" w14:textId="77777777" w:rsidR="005E6F2C" w:rsidRDefault="009C57C4">
      <w:pPr>
        <w:pStyle w:val="Heading3"/>
      </w:pPr>
      <w:bookmarkStart w:id="15" w:name="_Toc232117600"/>
      <w:r>
        <w:lastRenderedPageBreak/>
        <w:t xml:space="preserve">3. </w:t>
      </w:r>
      <w:r>
        <w:tab/>
        <w:t>Bentuk-Bentuk Penyertaan</w:t>
      </w:r>
      <w:bookmarkEnd w:id="15"/>
    </w:p>
    <w:p w14:paraId="2FDF6B2F" w14:textId="77777777" w:rsidR="005E6F2C" w:rsidRDefault="009C57C4">
      <w:pPr>
        <w:spacing w:line="480" w:lineRule="auto"/>
        <w:ind w:firstLine="720"/>
        <w:jc w:val="both"/>
      </w:pPr>
      <w:r>
        <w:t>Bentuk penyertaan yang pertama adalah pleger atau orang yang melakukan tindak pidana. Pleger adalah pelaku yang secara langsung memenuhi seluruh unsur tindak pidana sebagaimana dirumuskan dalam undang-undang. Dalam tindak pidana pencurian dengan kekerasan, pleger dapat berupa orang yang secara langsung mengambil barang milik korban dengan disertai kekerasan atau ancaman kekerasan.</w:t>
      </w:r>
      <w:r>
        <w:rPr>
          <w:rStyle w:val="FootnoteReference"/>
        </w:rPr>
        <w:footnoteReference w:id="40"/>
      </w:r>
    </w:p>
    <w:p w14:paraId="291FB59B" w14:textId="77777777" w:rsidR="005E6F2C" w:rsidRDefault="009C57C4">
      <w:pPr>
        <w:spacing w:line="480" w:lineRule="auto"/>
        <w:ind w:firstLine="720"/>
        <w:jc w:val="both"/>
      </w:pPr>
      <w:r>
        <w:t>Bentuk penyertaan yang kedua adalah doenpleger atau orang yang menyuruh melakukan tindak pidana. Dalam bentuk ini, seseorang menggunakan orang lain sebagai alat untuk melakukan tindak pidana, sedangkan orang yang disuruh biasanya tidak dapat dimintai pertanggungjawaban pidana karena alasan tertentu. Bentuk ini menunjukkan bahwa pelaku intelektual dapat tetap dimintai pertanggungjawaban meskipun ia tidak melakukan perbuatan secara langsung.</w:t>
      </w:r>
      <w:r>
        <w:rPr>
          <w:rStyle w:val="FootnoteReference"/>
        </w:rPr>
        <w:footnoteReference w:id="41"/>
      </w:r>
    </w:p>
    <w:p w14:paraId="4086B262" w14:textId="77777777" w:rsidR="005E6F2C" w:rsidRDefault="009C57C4">
      <w:pPr>
        <w:spacing w:line="480" w:lineRule="auto"/>
        <w:ind w:firstLine="720"/>
        <w:jc w:val="both"/>
      </w:pPr>
      <w:r>
        <w:t>Bentuk penyertaan yang ketiga adalah medepleger atau turut serta melakukan tindak pidana. Medepleger terjadi apabila dua orang atau lebih secara sadar bekerja sama melakukan tindak pidana. Dalam pencurian dengan kekerasan, medepleger dapat terlihat apabila beberapa orang secara bersama-sama menyerang korban, menguasai korban, mengambil barang, atau membantu agar perbuatan pidana berhasil dilakukan.¹³</w:t>
      </w:r>
    </w:p>
    <w:p w14:paraId="0A76207D" w14:textId="77777777" w:rsidR="005E6F2C" w:rsidRDefault="009C57C4">
      <w:pPr>
        <w:spacing w:line="480" w:lineRule="auto"/>
        <w:ind w:firstLine="720"/>
        <w:jc w:val="both"/>
      </w:pPr>
      <w:r>
        <w:t xml:space="preserve">Bentuk penyertaan berikutnya adalah uitlokker atau penganjur. Penganjur adalah orang yang dengan sengaja menggerakkan orang lain untuk melakukan tindak pidana melalui pemberian janji, penyalahgunaan kekuasaan, kekerasan, </w:t>
      </w:r>
      <w:r>
        <w:lastRenderedPageBreak/>
        <w:t>ancaman, tipu daya, atau sarana tertentu. Meskipun penganjur tidak selalu berada di tempat kejadian, ia tetap dapat dimintai pertanggungjawaban apabila anjurannya menjadi sebab orang lain melakukan tindak pidana.</w:t>
      </w:r>
      <w:r>
        <w:rPr>
          <w:rStyle w:val="FootnoteReference"/>
        </w:rPr>
        <w:footnoteReference w:id="42"/>
      </w:r>
    </w:p>
    <w:p w14:paraId="6B55B742" w14:textId="47B9386C" w:rsidR="005E6F2C" w:rsidRDefault="009C57C4" w:rsidP="00953761">
      <w:pPr>
        <w:spacing w:line="480" w:lineRule="auto"/>
        <w:ind w:firstLine="720"/>
        <w:jc w:val="both"/>
      </w:pPr>
      <w:r>
        <w:t>Selain bentuk-bentuk dalam Pasal 55 KUHP, terdapat pula medeplichtige atau pembantu sebagaimana diatur dalam Pasal 56 KUHP. Pembantu tidak selalu menjadi pelaku utama, tetapi memberikan bantuan yang memudahkan tindak pidana dilakukan. Dalam perkara pencurian bersama-sama, pembantu dapat berupa orang yang menyediakan alat, memberi informasi tentang keadaan korban, atau membantu pelaku melarikan diri setelah perbuatan pidana terjadi.</w:t>
      </w:r>
      <w:r>
        <w:rPr>
          <w:rStyle w:val="FootnoteReference"/>
        </w:rPr>
        <w:footnoteReference w:id="43"/>
      </w:r>
    </w:p>
    <w:p w14:paraId="52644182" w14:textId="77777777" w:rsidR="005E6F2C" w:rsidRPr="00103A55" w:rsidRDefault="009C57C4">
      <w:pPr>
        <w:pStyle w:val="Heading2"/>
        <w:rPr>
          <w:b w:val="0"/>
          <w:bCs w:val="0"/>
          <w:sz w:val="36"/>
          <w:szCs w:val="36"/>
        </w:rPr>
      </w:pPr>
      <w:bookmarkStart w:id="16" w:name="_Toc232117601"/>
      <w:r w:rsidRPr="00103A55">
        <w:rPr>
          <w:rStyle w:val="Strong"/>
          <w:b/>
          <w:bCs/>
        </w:rPr>
        <w:t xml:space="preserve">D. </w:t>
      </w:r>
      <w:r w:rsidRPr="00103A55">
        <w:rPr>
          <w:rStyle w:val="Strong"/>
          <w:b/>
          <w:bCs/>
        </w:rPr>
        <w:tab/>
      </w:r>
      <w:proofErr w:type="spellStart"/>
      <w:r w:rsidRPr="00103A55">
        <w:rPr>
          <w:rStyle w:val="Strong"/>
          <w:b/>
          <w:bCs/>
        </w:rPr>
        <w:t>Gambaran</w:t>
      </w:r>
      <w:proofErr w:type="spellEnd"/>
      <w:r w:rsidRPr="00103A55">
        <w:rPr>
          <w:rStyle w:val="Strong"/>
          <w:b/>
          <w:bCs/>
        </w:rPr>
        <w:t xml:space="preserve"> </w:t>
      </w:r>
      <w:proofErr w:type="spellStart"/>
      <w:r w:rsidRPr="00103A55">
        <w:rPr>
          <w:rStyle w:val="Strong"/>
          <w:b/>
          <w:bCs/>
        </w:rPr>
        <w:t>Umum</w:t>
      </w:r>
      <w:proofErr w:type="spellEnd"/>
      <w:r w:rsidRPr="00103A55">
        <w:rPr>
          <w:rStyle w:val="Strong"/>
          <w:b/>
          <w:bCs/>
        </w:rPr>
        <w:t xml:space="preserve"> </w:t>
      </w:r>
      <w:proofErr w:type="spellStart"/>
      <w:r w:rsidRPr="00103A55">
        <w:rPr>
          <w:rStyle w:val="Strong"/>
          <w:b/>
          <w:bCs/>
        </w:rPr>
        <w:t>Kekerasan</w:t>
      </w:r>
      <w:bookmarkEnd w:id="16"/>
      <w:proofErr w:type="spellEnd"/>
    </w:p>
    <w:p w14:paraId="6B31ECAB" w14:textId="77777777" w:rsidR="005E6F2C" w:rsidRPr="00103A55" w:rsidRDefault="009C57C4">
      <w:pPr>
        <w:pStyle w:val="Heading3"/>
        <w:ind w:firstLine="709"/>
        <w:rPr>
          <w:b w:val="0"/>
          <w:bCs w:val="0"/>
        </w:rPr>
      </w:pPr>
      <w:bookmarkStart w:id="17" w:name="_Toc232117602"/>
      <w:r w:rsidRPr="00103A55">
        <w:rPr>
          <w:rStyle w:val="Strong"/>
          <w:b/>
          <w:bCs/>
        </w:rPr>
        <w:t>1. Pengertian Kekerasan dalam Hukum Pidana</w:t>
      </w:r>
      <w:bookmarkEnd w:id="17"/>
    </w:p>
    <w:p w14:paraId="75515128" w14:textId="77777777" w:rsidR="005E6F2C" w:rsidRDefault="009C57C4">
      <w:pPr>
        <w:spacing w:line="480" w:lineRule="auto"/>
        <w:ind w:firstLine="709"/>
        <w:jc w:val="both"/>
      </w:pPr>
      <w:r>
        <w:t>Kekerasan dalam hukum pidana merupakan suatu perbuatan yang menggunakan tenaga fisik atau ancaman untuk menimbulkan rasa sakit, penderitaan, atau ketakutan pada orang lain. Dalam konteks hukum pidana, kekerasan tidak hanya dipahami sebagai tindakan yang menyebabkan luka fisik, tetapi juga mencakup ancaman yang dapat menimbulkan tekanan psikologis terhadap korban. Oleh karena itu, konsep kekerasan memiliki cakupan yang cukup luas dalam praktik penegakan hukum.</w:t>
      </w:r>
      <w:r>
        <w:rPr>
          <w:rStyle w:val="FootnoteReference"/>
        </w:rPr>
        <w:footnoteReference w:id="44"/>
      </w:r>
    </w:p>
    <w:p w14:paraId="4BA3613E" w14:textId="77777777" w:rsidR="005E6F2C" w:rsidRDefault="009C57C4">
      <w:pPr>
        <w:spacing w:line="480" w:lineRule="auto"/>
        <w:ind w:firstLine="709"/>
        <w:jc w:val="both"/>
      </w:pPr>
      <w:r>
        <w:t xml:space="preserve">Pengertian kekerasan dalam KUHP tidak dirumuskan secara eksplisit dalam satu pasal tertentu, tetapi dapat ditemukan dalam berbagai ketentuan yang mengatur tindak pidana yang melibatkan unsur kekerasan, seperti penganiayaan, pemerasan, dan pencurian dengan kekerasan. Hal ini menunjukkan bahwa </w:t>
      </w:r>
      <w:r>
        <w:lastRenderedPageBreak/>
        <w:t>kekerasan merupakan unsur yang sering digunakan untuk memperberat suatu tindak pidana.</w:t>
      </w:r>
      <w:r>
        <w:rPr>
          <w:rStyle w:val="FootnoteReference"/>
        </w:rPr>
        <w:footnoteReference w:id="45"/>
      </w:r>
    </w:p>
    <w:p w14:paraId="55D66F26" w14:textId="77777777" w:rsidR="005E6F2C" w:rsidRDefault="009C57C4">
      <w:pPr>
        <w:spacing w:line="480" w:lineRule="auto"/>
        <w:ind w:firstLine="709"/>
        <w:jc w:val="both"/>
      </w:pPr>
      <w:r>
        <w:t>Dalam doktrin hukum pidana, kekerasan diartikan sebagai penggunaan kekuatan fisik terhadap orang atau benda yang dapat mengakibatkan kerugian, baik secara langsung maupun tidak langsung. Kekerasan juga dapat berupa tindakan yang bertujuan untuk memaksa seseorang agar melakukan atau tidak melakukan sesuatu. Dengan demikian, kekerasan tidak selalu harus menimbulkan luka, tetapi cukup apabila menimbulkan tekanan atau paksaan terhadap korban.</w:t>
      </w:r>
      <w:r>
        <w:rPr>
          <w:rStyle w:val="FootnoteReference"/>
        </w:rPr>
        <w:footnoteReference w:id="46"/>
      </w:r>
    </w:p>
    <w:p w14:paraId="1E72E6AA" w14:textId="77777777" w:rsidR="005E6F2C" w:rsidRDefault="009C57C4">
      <w:pPr>
        <w:spacing w:line="480" w:lineRule="auto"/>
        <w:ind w:firstLine="709"/>
        <w:jc w:val="both"/>
      </w:pPr>
      <w:r>
        <w:t>Dalam tindak pidana pencurian dengan kekerasan, unsur kekerasan memiliki fungsi penting sebagai faktor pemberat. Kekerasan digunakan oleh pelaku untuk mempermudah terjadinya pencurian, menguasai korban, atau mempertahankan barang yang telah diambil. Oleh karena itu, keberadaan unsur kekerasan menjadi pembeda utama antara pencurian biasa dan pencurian dengan kekerasan.</w:t>
      </w:r>
      <w:r>
        <w:rPr>
          <w:rStyle w:val="FootnoteReference"/>
        </w:rPr>
        <w:footnoteReference w:id="47"/>
      </w:r>
    </w:p>
    <w:p w14:paraId="3907C3C7" w14:textId="77777777" w:rsidR="005E6F2C" w:rsidRDefault="009C57C4">
      <w:pPr>
        <w:spacing w:line="480" w:lineRule="auto"/>
        <w:ind w:firstLine="709"/>
        <w:jc w:val="both"/>
      </w:pPr>
      <w:r>
        <w:t>Berdasarkan uraian tersebut, kekerasan dalam hukum pidana dapat dipahami sebagai setiap perbuatan yang menggunakan kekuatan fisik atau ancaman untuk menimbulkan penderitaan atau tekanan terhadap orang lain. Dalam penelitian ini, pengertian kekerasan digunakan sebagai dasar untuk menganalisis apakah perbuatan pelaku dalam BAP telah memenuhi unsur kekerasan sebagaimana dimaksud dalam Pasal 365 KUHP.</w:t>
      </w:r>
    </w:p>
    <w:p w14:paraId="79EE6FB9" w14:textId="77777777" w:rsidR="005E6F2C" w:rsidRPr="00103A55" w:rsidRDefault="009C57C4">
      <w:pPr>
        <w:pStyle w:val="Heading3"/>
        <w:rPr>
          <w:b w:val="0"/>
          <w:bCs w:val="0"/>
        </w:rPr>
      </w:pPr>
      <w:bookmarkStart w:id="18" w:name="_Toc232117603"/>
      <w:r w:rsidRPr="00103A55">
        <w:rPr>
          <w:rStyle w:val="Strong"/>
          <w:b/>
          <w:bCs/>
        </w:rPr>
        <w:lastRenderedPageBreak/>
        <w:t>2. Bentuk-Bentuk Kekerasan (Fisik dan Non-Fisik)</w:t>
      </w:r>
      <w:bookmarkEnd w:id="18"/>
    </w:p>
    <w:p w14:paraId="4B410285" w14:textId="77777777" w:rsidR="005E6F2C" w:rsidRDefault="009C57C4">
      <w:pPr>
        <w:spacing w:line="480" w:lineRule="auto"/>
        <w:ind w:firstLine="709"/>
        <w:jc w:val="both"/>
      </w:pPr>
      <w:r>
        <w:t>Kekerasan dalam hukum pidana dapat dibedakan menjadi kekerasan fisik dan kekerasan non-fisik. Kekerasan fisik merupakan bentuk kekerasan yang dilakukan dengan menggunakan tenaga atau kekuatan tubuh yang secara langsung menyerang fisik korban, seperti memukul, menendang, menampar, atau melukai korban dengan benda tertentu. Kekerasan fisik biasanya mudah dibuktikan karena meninggalkan bekas atau luka pada tubuh korban.</w:t>
      </w:r>
      <w:r>
        <w:rPr>
          <w:rStyle w:val="FootnoteReference"/>
        </w:rPr>
        <w:footnoteReference w:id="48"/>
      </w:r>
    </w:p>
    <w:p w14:paraId="180A7AF7" w14:textId="77777777" w:rsidR="005E6F2C" w:rsidRDefault="009C57C4">
      <w:pPr>
        <w:spacing w:line="480" w:lineRule="auto"/>
        <w:ind w:firstLine="709"/>
        <w:jc w:val="both"/>
      </w:pPr>
      <w:r>
        <w:t>Selain kekerasan fisik, terdapat pula kekerasan non-fisik yang sering disebut sebagai kekerasan psikis atau ancaman kekerasan. Kekerasan non-fisik tidak selalu menimbulkan luka pada tubuh korban, tetapi dapat menimbulkan rasa takut, tekanan mental, atau ketidakberdayaan. Contohnya adalah ancaman dengan senjata, intimidasi, atau tindakan yang membuat korban tidak berani melawan pelaku.</w:t>
      </w:r>
      <w:r>
        <w:rPr>
          <w:rStyle w:val="FootnoteReference"/>
        </w:rPr>
        <w:footnoteReference w:id="49"/>
      </w:r>
    </w:p>
    <w:p w14:paraId="651C169E" w14:textId="77777777" w:rsidR="005E6F2C" w:rsidRDefault="009C57C4">
      <w:pPr>
        <w:spacing w:line="480" w:lineRule="auto"/>
        <w:ind w:firstLine="709"/>
        <w:jc w:val="both"/>
      </w:pPr>
      <w:r>
        <w:t>Dalam praktiknya, kekerasan fisik dan non-fisik sering terjadi secara bersamaan dalam suatu tindak pidana. Misalnya dalam pencurian dengan kekerasan, pelaku dapat terlebih dahulu mengancam korban agar tidak melawan, kemudian menggunakan kekerasan fisik untuk melumpuhkan korban. Kombinasi antara kedua bentuk kekerasan ini dapat memperkuat posisi pelaku dalam menguasai korban dan barang yang diinginkan.</w:t>
      </w:r>
      <w:r>
        <w:rPr>
          <w:rStyle w:val="FootnoteReference"/>
        </w:rPr>
        <w:footnoteReference w:id="50"/>
      </w:r>
    </w:p>
    <w:p w14:paraId="019C90C8" w14:textId="77777777" w:rsidR="005E6F2C" w:rsidRDefault="009C57C4">
      <w:pPr>
        <w:spacing w:line="480" w:lineRule="auto"/>
        <w:ind w:firstLine="709"/>
        <w:jc w:val="both"/>
      </w:pPr>
      <w:r>
        <w:t xml:space="preserve">Pembagian bentuk kekerasan ini penting untuk kepentingan pembuktian dalam hukum pidana. Kekerasan fisik dapat dibuktikan melalui visum et repertum, keterangan saksi, atau barang bukti lainnya. Sementara itu, kekerasan </w:t>
      </w:r>
      <w:r>
        <w:lastRenderedPageBreak/>
        <w:t>non-fisik dapat dibuktikan melalui keterangan korban dan saksi mengenai adanya ancaman atau tekanan yang dialami. Oleh karena itu, penyidik harus cermat dalam mengidentifikasi bentuk kekerasan yang terjadi.</w:t>
      </w:r>
      <w:r>
        <w:rPr>
          <w:rStyle w:val="FootnoteReference"/>
        </w:rPr>
        <w:footnoteReference w:id="51"/>
      </w:r>
    </w:p>
    <w:p w14:paraId="6E6AF2EA" w14:textId="77777777" w:rsidR="005E6F2C" w:rsidRDefault="009C57C4">
      <w:pPr>
        <w:spacing w:line="480" w:lineRule="auto"/>
        <w:ind w:firstLine="709"/>
        <w:jc w:val="both"/>
      </w:pPr>
      <w:r>
        <w:t>Dalam kaitannya dengan Pasal 365 KUHP, baik kekerasan fisik maupun ancaman kekerasan dapat menjadi dasar untuk memperberat tindak pidana pencurian. Artinya, meskipun pelaku tidak secara langsung melukai korban, tetapi apabila terdapat ancaman kekerasan yang menimbulkan rasa takut, maka unsur kekerasan tetap dapat dianggap terpenuhi secara hukum.</w:t>
      </w:r>
      <w:r>
        <w:rPr>
          <w:rStyle w:val="FootnoteReference"/>
        </w:rPr>
        <w:footnoteReference w:id="52"/>
      </w:r>
    </w:p>
    <w:p w14:paraId="17F5E5EF" w14:textId="77777777" w:rsidR="005E6F2C" w:rsidRPr="00103A55" w:rsidRDefault="009C57C4">
      <w:pPr>
        <w:pStyle w:val="Heading3"/>
        <w:rPr>
          <w:b w:val="0"/>
          <w:bCs w:val="0"/>
        </w:rPr>
      </w:pPr>
      <w:bookmarkStart w:id="19" w:name="_Toc232117604"/>
      <w:r w:rsidRPr="00103A55">
        <w:rPr>
          <w:rStyle w:val="Strong"/>
          <w:b/>
          <w:bCs/>
        </w:rPr>
        <w:t xml:space="preserve">3. </w:t>
      </w:r>
      <w:r w:rsidRPr="00103A55">
        <w:rPr>
          <w:rStyle w:val="Strong"/>
          <w:b/>
          <w:bCs/>
        </w:rPr>
        <w:tab/>
        <w:t>Unsur Kekerasan dalam KUHP</w:t>
      </w:r>
      <w:bookmarkEnd w:id="19"/>
    </w:p>
    <w:p w14:paraId="4F82C8A1" w14:textId="77777777" w:rsidR="005E6F2C" w:rsidRDefault="009C57C4">
      <w:pPr>
        <w:spacing w:line="480" w:lineRule="auto"/>
        <w:ind w:firstLine="709"/>
        <w:jc w:val="both"/>
      </w:pPr>
      <w:r>
        <w:t>Unsur kekerasan dalam KUHP sering dikaitkan dengan penggunaan tenaga atau ancaman yang ditujukan kepada orang lain. Dalam konteks Pasal 365 KUHP, kekerasan atau ancaman kekerasan harus memiliki hubungan dengan tindak pidana pencurian, yaitu dilakukan untuk mempersiapkan, mempermudah, atau melancarkan pencurian. Oleh karena itu, tidak semua kekerasan dapat dikaitkan dengan pencurian, tetapi harus memiliki keterkaitan langsung dengan perbuatan tersebut.</w:t>
      </w:r>
      <w:r>
        <w:rPr>
          <w:rStyle w:val="FootnoteReference"/>
        </w:rPr>
        <w:footnoteReference w:id="53"/>
      </w:r>
    </w:p>
    <w:p w14:paraId="6757BB47" w14:textId="77777777" w:rsidR="005E6F2C" w:rsidRDefault="009C57C4">
      <w:pPr>
        <w:spacing w:line="480" w:lineRule="auto"/>
        <w:ind w:firstLine="709"/>
        <w:jc w:val="both"/>
      </w:pPr>
      <w:r>
        <w:t xml:space="preserve">Kekerasan dalam Pasal 365 KUHP dapat terjadi sebelum, pada saat, atau setelah pencurian dilakukan. Kekerasan sebelum pencurian biasanya bertujuan untuk melumpuhkan korban, sedangkan kekerasan pada saat pencurian bertujuan untuk menguasai barang. Sementara itu, kekerasan setelah pencurian dilakukan bertujuan untuk mempertahankan barang atau memungkinkan pelaku melarikan </w:t>
      </w:r>
      <w:r>
        <w:lastRenderedPageBreak/>
        <w:t>diri. Ketiga bentuk ini sama-sama memiliki nilai hukum dalam menentukan terpenuhinya unsur kekerasan.</w:t>
      </w:r>
      <w:r>
        <w:rPr>
          <w:rStyle w:val="FootnoteReference"/>
        </w:rPr>
        <w:footnoteReference w:id="54"/>
      </w:r>
    </w:p>
    <w:p w14:paraId="2BB87720" w14:textId="77777777" w:rsidR="005E6F2C" w:rsidRDefault="009C57C4">
      <w:pPr>
        <w:spacing w:line="480" w:lineRule="auto"/>
        <w:ind w:firstLine="709"/>
        <w:jc w:val="both"/>
      </w:pPr>
      <w:r>
        <w:t>Selain itu, kekerasan dalam KUHP tidak selalu harus menyebabkan luka berat. Bahkan, tindakan ringan seperti mendorong, menarik, atau mengancam korban dengan kata-kata tertentu dapat dikategorikan sebagai kekerasan apabila dilakukan untuk memaksa korban. Hal ini menunjukkan bahwa unsur kekerasan dalam hukum pidana memiliki interpretasi yang luas dan tidak terbatas pada luka fisik yang berat.</w:t>
      </w:r>
      <w:r>
        <w:rPr>
          <w:rStyle w:val="FootnoteReference"/>
        </w:rPr>
        <w:footnoteReference w:id="55"/>
      </w:r>
    </w:p>
    <w:p w14:paraId="5EBEC26B" w14:textId="77777777" w:rsidR="005E6F2C" w:rsidRDefault="009C57C4">
      <w:pPr>
        <w:spacing w:line="480" w:lineRule="auto"/>
        <w:ind w:firstLine="709"/>
        <w:jc w:val="both"/>
      </w:pPr>
      <w:r>
        <w:t>Pembuktian unsur kekerasan dalam praktik hukum pidana menjadi hal yang sangat penting karena menentukan penerapan pasal yang tepat. Apabila unsur kekerasan tidak dapat dibuktikan, maka perbuatan pelaku hanya dapat dikualifikasikan sebagai pencurian biasa. Sebaliknya, apabila unsur kekerasan terbukti, maka pelaku dapat dikenakan Pasal 365 KUHP dengan ancaman pidana yang lebih berat.</w:t>
      </w:r>
      <w:r>
        <w:rPr>
          <w:rStyle w:val="FootnoteReference"/>
        </w:rPr>
        <w:footnoteReference w:id="56"/>
      </w:r>
    </w:p>
    <w:p w14:paraId="57355AC3" w14:textId="77777777" w:rsidR="005E6F2C" w:rsidRDefault="009C57C4">
      <w:pPr>
        <w:spacing w:line="480" w:lineRule="auto"/>
        <w:ind w:firstLine="709"/>
        <w:jc w:val="both"/>
      </w:pPr>
      <w:r>
        <w:t>Dengan demikian, unsur kekerasan dalam KUHP merupakan faktor penting yang membedakan antara tindak pidana pencurian biasa dan pencurian dengan kekerasan. Dalam penelitian ini, analisis terhadap unsur kekerasan akan difokuskan pada kesesuaian antara fakta yang terdapat dalam BAP dengan ketentuan Pasal 365 KUHP, sehingga dapat diketahui apakah perbuatan pelaku telah memenuhi unsur kekerasan secara hukum.</w:t>
      </w:r>
      <w:r>
        <w:rPr>
          <w:rStyle w:val="FootnoteReference"/>
        </w:rPr>
        <w:footnoteReference w:id="57"/>
      </w:r>
    </w:p>
    <w:p w14:paraId="673F2B2B" w14:textId="77777777" w:rsidR="005E6F2C" w:rsidRDefault="005E6F2C" w:rsidP="0012507D">
      <w:pPr>
        <w:pStyle w:val="BodyText0"/>
        <w:spacing w:after="0" w:line="240" w:lineRule="auto"/>
        <w:ind w:left="851" w:hanging="851"/>
        <w:jc w:val="both"/>
        <w:rPr>
          <w:color w:val="000000"/>
          <w:sz w:val="24"/>
          <w:szCs w:val="24"/>
          <w:lang w:bidi="id-ID"/>
        </w:rPr>
      </w:pPr>
    </w:p>
    <w:sectPr w:rsidR="005E6F2C">
      <w:headerReference w:type="even" r:id="rId9"/>
      <w:headerReference w:type="default" r:id="rId10"/>
      <w:footerReference w:type="default" r:id="rId11"/>
      <w:headerReference w:type="first" r:id="rId12"/>
      <w:footerReference w:type="first" r:id="rId13"/>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B5880F" w14:textId="77777777" w:rsidR="00A67E38" w:rsidRDefault="00A67E38">
      <w:r>
        <w:separator/>
      </w:r>
    </w:p>
  </w:endnote>
  <w:endnote w:type="continuationSeparator" w:id="0">
    <w:p w14:paraId="2FF8D91A" w14:textId="77777777" w:rsidR="00A67E38" w:rsidRDefault="00A67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100EF" w14:textId="77777777" w:rsidR="005E6F2C" w:rsidRDefault="005E6F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BC884" w14:textId="77777777" w:rsidR="005E6F2C" w:rsidRDefault="009C57C4">
    <w:pPr>
      <w:pStyle w:val="Footer"/>
      <w:jc w:val="center"/>
    </w:pPr>
    <w:r>
      <w:fldChar w:fldCharType="begin"/>
    </w:r>
    <w:r>
      <w:instrText xml:space="preserve"> PAGE </w:instrText>
    </w:r>
    <w:r>
      <w:fldChar w:fldCharType="separate"/>
    </w:r>
    <w:r w:rsidR="000545C5">
      <w:rPr>
        <w:noProof/>
      </w:rPr>
      <w:t>1</w:t>
    </w:r>
    <w:r>
      <w:fldChar w:fldCharType="end"/>
    </w:r>
  </w:p>
  <w:p w14:paraId="41A83C9B" w14:textId="77777777" w:rsidR="005E6F2C" w:rsidRDefault="005E6F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6C9A02" w14:textId="77777777" w:rsidR="00A67E38" w:rsidRDefault="00A67E38">
      <w:r>
        <w:separator/>
      </w:r>
    </w:p>
  </w:footnote>
  <w:footnote w:type="continuationSeparator" w:id="0">
    <w:p w14:paraId="0EBBBB72" w14:textId="77777777" w:rsidR="00A67E38" w:rsidRDefault="00A67E38">
      <w:r>
        <w:continuationSeparator/>
      </w:r>
    </w:p>
  </w:footnote>
  <w:footnote w:id="1">
    <w:p w14:paraId="5228CFCE" w14:textId="77777777" w:rsidR="005E6F2C" w:rsidRDefault="009C57C4" w:rsidP="006B7248">
      <w:pPr>
        <w:pStyle w:val="FootnoteText"/>
        <w:ind w:firstLine="709"/>
        <w:jc w:val="both"/>
      </w:pPr>
      <w:r>
        <w:rPr>
          <w:rStyle w:val="FootnoteCharacters"/>
        </w:rPr>
        <w:footnoteRef/>
      </w:r>
      <w:r>
        <w:t xml:space="preserve"> </w:t>
      </w:r>
      <w:proofErr w:type="spellStart"/>
      <w:r>
        <w:t>Moeljatno</w:t>
      </w:r>
      <w:proofErr w:type="spellEnd"/>
      <w:r>
        <w:t xml:space="preserve">, </w:t>
      </w:r>
      <w:proofErr w:type="spellStart"/>
      <w:r>
        <w:rPr>
          <w:rStyle w:val="Emphasis"/>
        </w:rPr>
        <w:t>Asas-Asas</w:t>
      </w:r>
      <w:proofErr w:type="spellEnd"/>
      <w:r>
        <w:rPr>
          <w:rStyle w:val="Emphasis"/>
        </w:rPr>
        <w:t xml:space="preserve"> </w:t>
      </w:r>
      <w:proofErr w:type="spellStart"/>
      <w:r>
        <w:rPr>
          <w:rStyle w:val="Emphasis"/>
        </w:rPr>
        <w:t>Hukum</w:t>
      </w:r>
      <w:proofErr w:type="spellEnd"/>
      <w:r>
        <w:rPr>
          <w:rStyle w:val="Emphasis"/>
        </w:rPr>
        <w:t xml:space="preserve"> Pidana</w:t>
      </w:r>
      <w:r>
        <w:t>, (Jakarta: Rineka Cipta, 2008), hlm. 59.</w:t>
      </w:r>
    </w:p>
  </w:footnote>
  <w:footnote w:id="2">
    <w:p w14:paraId="02B8F891" w14:textId="77777777" w:rsidR="005E6F2C" w:rsidRDefault="009C57C4" w:rsidP="006B7248">
      <w:pPr>
        <w:pStyle w:val="FootnoteText"/>
        <w:ind w:firstLine="709"/>
        <w:jc w:val="both"/>
      </w:pPr>
      <w:r>
        <w:rPr>
          <w:rStyle w:val="FootnoteCharacters"/>
        </w:rPr>
        <w:footnoteRef/>
      </w:r>
      <w:r>
        <w:t xml:space="preserve"> Teguh Prasetyo, </w:t>
      </w:r>
      <w:r>
        <w:rPr>
          <w:rStyle w:val="Emphasis"/>
        </w:rPr>
        <w:t>Hukum Pidana</w:t>
      </w:r>
      <w:r>
        <w:t>, (Jakarta: RajaGrafindo Persada, 2016), hlm. 47.</w:t>
      </w:r>
    </w:p>
  </w:footnote>
  <w:footnote w:id="3">
    <w:p w14:paraId="0D248747" w14:textId="77777777" w:rsidR="005E6F2C" w:rsidRDefault="009C57C4" w:rsidP="006B7248">
      <w:pPr>
        <w:pStyle w:val="FootnoteText"/>
        <w:ind w:firstLine="709"/>
        <w:jc w:val="both"/>
      </w:pPr>
      <w:r>
        <w:rPr>
          <w:rStyle w:val="FootnoteCharacters"/>
        </w:rPr>
        <w:footnoteRef/>
      </w:r>
      <w:r>
        <w:t xml:space="preserve"> P.A.F. Lamintang, </w:t>
      </w:r>
      <w:r>
        <w:rPr>
          <w:rStyle w:val="Emphasis"/>
        </w:rPr>
        <w:t>Dasar-Dasar Hukum Pidana Indonesia</w:t>
      </w:r>
      <w:r>
        <w:t>, (Bandung: Citra Aditya Bakti, 2013), hlm. 181.</w:t>
      </w:r>
    </w:p>
  </w:footnote>
  <w:footnote w:id="4">
    <w:p w14:paraId="4D6675E7" w14:textId="77777777" w:rsidR="005E6F2C" w:rsidRDefault="009C57C4" w:rsidP="006B7248">
      <w:pPr>
        <w:pStyle w:val="FootnoteText"/>
        <w:ind w:firstLine="709"/>
        <w:jc w:val="both"/>
      </w:pPr>
      <w:r>
        <w:rPr>
          <w:rStyle w:val="FootnoteCharacters"/>
        </w:rPr>
        <w:footnoteRef/>
      </w:r>
      <w:r>
        <w:t xml:space="preserve"> Barda Nawawi Arief, </w:t>
      </w:r>
      <w:r>
        <w:rPr>
          <w:rStyle w:val="Emphasis"/>
        </w:rPr>
        <w:t>Bunga Rampai Kebijakan Hukum Pidana</w:t>
      </w:r>
      <w:r>
        <w:t>, (Jakarta: Kencana, 2011), hlm. 28.</w:t>
      </w:r>
    </w:p>
  </w:footnote>
  <w:footnote w:id="5">
    <w:p w14:paraId="6EC5F7D9" w14:textId="77777777" w:rsidR="005E6F2C" w:rsidRDefault="009C57C4" w:rsidP="006B7248">
      <w:pPr>
        <w:pStyle w:val="FootnoteText"/>
        <w:ind w:firstLine="709"/>
        <w:jc w:val="both"/>
      </w:pPr>
      <w:r>
        <w:rPr>
          <w:rStyle w:val="FootnoteCharacters"/>
        </w:rPr>
        <w:footnoteRef/>
      </w:r>
      <w:r>
        <w:t xml:space="preserve"> Adami Chazawi, </w:t>
      </w:r>
      <w:r>
        <w:rPr>
          <w:rStyle w:val="Emphasis"/>
        </w:rPr>
        <w:t>Pelajaran Hukum Pidana Bagian I</w:t>
      </w:r>
      <w:r>
        <w:t>, (Jakarta: RajaGrafindo Persada, 2011), hlm. 79.</w:t>
      </w:r>
    </w:p>
  </w:footnote>
  <w:footnote w:id="6">
    <w:p w14:paraId="3BC221B0" w14:textId="77777777" w:rsidR="005E6F2C" w:rsidRDefault="009C57C4" w:rsidP="006B7248">
      <w:pPr>
        <w:pStyle w:val="FootnoteText"/>
        <w:ind w:firstLine="709"/>
        <w:jc w:val="both"/>
      </w:pPr>
      <w:r>
        <w:rPr>
          <w:rStyle w:val="FootnoteCharacters"/>
        </w:rPr>
        <w:footnoteRef/>
      </w:r>
      <w:r>
        <w:t xml:space="preserve"> Roeslan Saleh, </w:t>
      </w:r>
      <w:r>
        <w:rPr>
          <w:rStyle w:val="Emphasis"/>
        </w:rPr>
        <w:t>Perbuatan Pidana dan Pertanggungjawaban Pidana</w:t>
      </w:r>
      <w:r>
        <w:t>, (Jakarta: Aksara Baru, 1983), hlm. 13.</w:t>
      </w:r>
    </w:p>
  </w:footnote>
  <w:footnote w:id="7">
    <w:p w14:paraId="21933F78" w14:textId="77777777" w:rsidR="005E6F2C" w:rsidRDefault="009C57C4" w:rsidP="006B7248">
      <w:pPr>
        <w:pStyle w:val="FootnoteText"/>
        <w:ind w:firstLine="709"/>
        <w:jc w:val="both"/>
      </w:pPr>
      <w:r>
        <w:rPr>
          <w:rStyle w:val="FootnoteCharacters"/>
        </w:rPr>
        <w:footnoteRef/>
      </w:r>
      <w:r>
        <w:t xml:space="preserve"> Andi Hamzah, </w:t>
      </w:r>
      <w:r>
        <w:rPr>
          <w:rStyle w:val="Emphasis"/>
        </w:rPr>
        <w:t>Asas-Asas Hukum Pidana</w:t>
      </w:r>
      <w:r>
        <w:t>, (Jakarta: Rineka Cipta, 2010), hlm. 88.</w:t>
      </w:r>
    </w:p>
  </w:footnote>
  <w:footnote w:id="8">
    <w:p w14:paraId="28F6B2F7" w14:textId="77777777" w:rsidR="005E6F2C" w:rsidRDefault="009C57C4" w:rsidP="006B7248">
      <w:pPr>
        <w:pStyle w:val="FootnoteText"/>
        <w:ind w:firstLine="709"/>
        <w:jc w:val="both"/>
      </w:pPr>
      <w:r>
        <w:rPr>
          <w:rStyle w:val="FootnoteCharacters"/>
        </w:rPr>
        <w:footnoteRef/>
      </w:r>
      <w:r>
        <w:t xml:space="preserve"> E.Y. Kanter dan S.R. Sianturi, </w:t>
      </w:r>
      <w:r>
        <w:rPr>
          <w:rStyle w:val="Emphasis"/>
        </w:rPr>
        <w:t>Asas-Asas Hukum Pidana di Indonesia dan Penerapannya</w:t>
      </w:r>
      <w:r>
        <w:t>, (Jakarta: Storia Grafika, 2012), hlm. 166.</w:t>
      </w:r>
    </w:p>
  </w:footnote>
  <w:footnote w:id="9">
    <w:p w14:paraId="1B3C7570" w14:textId="77777777" w:rsidR="005E6F2C" w:rsidRDefault="009C57C4" w:rsidP="006B7248">
      <w:pPr>
        <w:pStyle w:val="FootnoteText"/>
        <w:ind w:firstLine="709"/>
        <w:jc w:val="both"/>
      </w:pPr>
      <w:r>
        <w:rPr>
          <w:rStyle w:val="FootnoteCharacters"/>
        </w:rPr>
        <w:footnoteRef/>
      </w:r>
      <w:r>
        <w:t xml:space="preserve"> Chairul Huda, </w:t>
      </w:r>
      <w:r>
        <w:rPr>
          <w:rStyle w:val="Emphasis"/>
        </w:rPr>
        <w:t>Dari Tiada Pidana Tanpa Kesalahan Menuju Kepada Tiada Pertanggungjawaban Pidana Tanpa Kesalahan</w:t>
      </w:r>
      <w:r>
        <w:t>, (Jakarta: Kencana, 2011), hlm. 64.</w:t>
      </w:r>
    </w:p>
  </w:footnote>
  <w:footnote w:id="10">
    <w:p w14:paraId="79721D01" w14:textId="77777777" w:rsidR="005E6F2C" w:rsidRDefault="009C57C4" w:rsidP="006B7248">
      <w:pPr>
        <w:pStyle w:val="FootnoteText"/>
        <w:ind w:firstLine="709"/>
        <w:jc w:val="both"/>
      </w:pPr>
      <w:r>
        <w:rPr>
          <w:rStyle w:val="FootnoteCharacters"/>
        </w:rPr>
        <w:footnoteRef/>
      </w:r>
      <w:r>
        <w:t xml:space="preserve"> R. Soesilo, </w:t>
      </w:r>
      <w:r>
        <w:rPr>
          <w:rStyle w:val="Emphasis"/>
        </w:rPr>
        <w:t>Kitab Undang-Undang Hukum Pidana serta Komentar-Komentarnya Lengkap Pasal Demi Pasal</w:t>
      </w:r>
      <w:r>
        <w:t>, (Bogor: Politeia, 1995), hlm. 26.</w:t>
      </w:r>
    </w:p>
  </w:footnote>
  <w:footnote w:id="11">
    <w:p w14:paraId="29CFAEF8" w14:textId="77777777" w:rsidR="005E6F2C" w:rsidRDefault="009C57C4" w:rsidP="006B7248">
      <w:pPr>
        <w:pStyle w:val="FootnoteText"/>
        <w:ind w:firstLine="709"/>
        <w:jc w:val="both"/>
      </w:pPr>
      <w:r>
        <w:rPr>
          <w:rStyle w:val="FootnoteCharacters"/>
        </w:rPr>
        <w:footnoteRef/>
      </w:r>
      <w:r>
        <w:t xml:space="preserve"> Jan Remmelink, </w:t>
      </w:r>
      <w:r>
        <w:rPr>
          <w:rStyle w:val="Emphasis"/>
        </w:rPr>
        <w:t>Hukum Pidana: Komentar atas Pasal-Pasal Terpenting dari KUHP Belanda dan Padanannya dalam KUHP Indonesia</w:t>
      </w:r>
      <w:r>
        <w:t>, (Jakarta: Gramedia Pustaka Utama, 2003), hlm. 87.</w:t>
      </w:r>
    </w:p>
  </w:footnote>
  <w:footnote w:id="12">
    <w:p w14:paraId="1F782076" w14:textId="77777777" w:rsidR="005E6F2C" w:rsidRDefault="009C57C4" w:rsidP="006B7248">
      <w:pPr>
        <w:pStyle w:val="FootnoteText"/>
        <w:ind w:firstLine="709"/>
        <w:jc w:val="both"/>
      </w:pPr>
      <w:r>
        <w:rPr>
          <w:rStyle w:val="FootnoteCharacters"/>
        </w:rPr>
        <w:footnoteRef/>
      </w:r>
      <w:r>
        <w:t xml:space="preserve"> Utrecht, </w:t>
      </w:r>
      <w:r>
        <w:rPr>
          <w:rStyle w:val="Emphasis"/>
        </w:rPr>
        <w:t>Hukum Pidana I</w:t>
      </w:r>
      <w:r>
        <w:t>, (Surabaya: Pustaka Tinta Mas, 1986), hlm. 251.</w:t>
      </w:r>
    </w:p>
  </w:footnote>
  <w:footnote w:id="13">
    <w:p w14:paraId="5E820377" w14:textId="77777777" w:rsidR="005E6F2C" w:rsidRDefault="009C57C4" w:rsidP="006B7248">
      <w:pPr>
        <w:pStyle w:val="FootnoteText"/>
        <w:ind w:firstLine="709"/>
        <w:jc w:val="both"/>
      </w:pPr>
      <w:r>
        <w:rPr>
          <w:rStyle w:val="FootnoteCharacters"/>
        </w:rPr>
        <w:footnoteRef/>
      </w:r>
      <w:r>
        <w:t xml:space="preserve"> Leden Marpaung, </w:t>
      </w:r>
      <w:r>
        <w:rPr>
          <w:rStyle w:val="Emphasis"/>
        </w:rPr>
        <w:t>Asas-Teori-Praktik Hukum Pidana</w:t>
      </w:r>
      <w:r>
        <w:t>, (Jakarta: Sinar Grafika, 2012), hlm. 71.</w:t>
      </w:r>
    </w:p>
  </w:footnote>
  <w:footnote w:id="14">
    <w:p w14:paraId="3CCBD9B4" w14:textId="77777777" w:rsidR="005E6F2C" w:rsidRDefault="009C57C4" w:rsidP="006B7248">
      <w:pPr>
        <w:pStyle w:val="FootnoteText"/>
        <w:ind w:firstLine="709"/>
        <w:jc w:val="both"/>
      </w:pPr>
      <w:r>
        <w:rPr>
          <w:rStyle w:val="FootnoteCharacters"/>
        </w:rPr>
        <w:footnoteRef/>
      </w:r>
      <w:r>
        <w:t xml:space="preserve"> R. Soesilo, </w:t>
      </w:r>
      <w:r>
        <w:rPr>
          <w:rStyle w:val="Emphasis"/>
        </w:rPr>
        <w:t>Kitab Undang-Undang Hukum Pidana serta Komentar-Komentarnya Lengkap Pasal Demi Pasal</w:t>
      </w:r>
      <w:r>
        <w:t>, (Bogor: Politeia, 1995), hlm. 249.</w:t>
      </w:r>
    </w:p>
  </w:footnote>
  <w:footnote w:id="15">
    <w:p w14:paraId="736B9053" w14:textId="77777777" w:rsidR="005E6F2C" w:rsidRDefault="009C57C4" w:rsidP="006B7248">
      <w:pPr>
        <w:pStyle w:val="FootnoteText"/>
        <w:ind w:firstLine="709"/>
        <w:jc w:val="both"/>
      </w:pPr>
      <w:r>
        <w:rPr>
          <w:rStyle w:val="FootnoteCharacters"/>
        </w:rPr>
        <w:footnoteRef/>
      </w:r>
      <w:r>
        <w:t xml:space="preserve"> Wirjono Prodjodikoro, </w:t>
      </w:r>
      <w:r>
        <w:rPr>
          <w:rStyle w:val="Emphasis"/>
        </w:rPr>
        <w:t>Tindak-Tindak Pidana Tertentu di Indonesia</w:t>
      </w:r>
      <w:r>
        <w:t>, (Bandung: Refika Aditama, 2012), hlm. 15.</w:t>
      </w:r>
    </w:p>
  </w:footnote>
  <w:footnote w:id="16">
    <w:p w14:paraId="008CBA5D" w14:textId="77777777" w:rsidR="005E6F2C" w:rsidRDefault="009C57C4" w:rsidP="006B7248">
      <w:pPr>
        <w:pStyle w:val="FootnoteText"/>
        <w:ind w:firstLine="709"/>
        <w:jc w:val="both"/>
      </w:pPr>
      <w:r>
        <w:rPr>
          <w:rStyle w:val="FootnoteCharacters"/>
        </w:rPr>
        <w:footnoteRef/>
      </w:r>
      <w:r>
        <w:t xml:space="preserve"> P.A.F. Lamintang dan Theo Lamintang, </w:t>
      </w:r>
      <w:r>
        <w:rPr>
          <w:rStyle w:val="Emphasis"/>
        </w:rPr>
        <w:t>Delik-Delik Khusus Kejahatan terhadap Harta Kekayaan</w:t>
      </w:r>
      <w:r>
        <w:t>, (Jakarta: Sinar Grafika, 2009), hlm. 13.</w:t>
      </w:r>
    </w:p>
  </w:footnote>
  <w:footnote w:id="17">
    <w:p w14:paraId="31D63F27" w14:textId="77777777" w:rsidR="005E6F2C" w:rsidRDefault="009C57C4" w:rsidP="006B7248">
      <w:pPr>
        <w:pStyle w:val="FootnoteText"/>
        <w:ind w:firstLine="709"/>
        <w:jc w:val="both"/>
      </w:pPr>
      <w:r>
        <w:rPr>
          <w:rStyle w:val="FootnoteCharacters"/>
        </w:rPr>
        <w:footnoteRef/>
      </w:r>
      <w:r>
        <w:t xml:space="preserve"> Adami Chazawi, </w:t>
      </w:r>
      <w:r>
        <w:rPr>
          <w:rStyle w:val="Emphasis"/>
        </w:rPr>
        <w:t>Kejahatan terhadap Harta Benda</w:t>
      </w:r>
      <w:r>
        <w:t>, (Malang: Bayumedia Publishing, 2006), hlm. 5.</w:t>
      </w:r>
    </w:p>
  </w:footnote>
  <w:footnote w:id="18">
    <w:p w14:paraId="03418BF2" w14:textId="77777777" w:rsidR="005E6F2C" w:rsidRDefault="009C57C4" w:rsidP="006B7248">
      <w:pPr>
        <w:pStyle w:val="FootnoteText"/>
        <w:ind w:firstLine="709"/>
        <w:jc w:val="both"/>
      </w:pPr>
      <w:r>
        <w:rPr>
          <w:rStyle w:val="FootnoteCharacters"/>
        </w:rPr>
        <w:footnoteRef/>
      </w:r>
      <w:r>
        <w:t xml:space="preserve"> Andi Hamzah, </w:t>
      </w:r>
      <w:r>
        <w:rPr>
          <w:rStyle w:val="Emphasis"/>
        </w:rPr>
        <w:t>KUHP dan KUHAP</w:t>
      </w:r>
      <w:r>
        <w:t>, (Jakarta: Rineka Cipta, 2015), hlm. 140.</w:t>
      </w:r>
    </w:p>
  </w:footnote>
  <w:footnote w:id="19">
    <w:p w14:paraId="04A27A8D" w14:textId="77777777" w:rsidR="005E6F2C" w:rsidRDefault="009C57C4" w:rsidP="006B7248">
      <w:pPr>
        <w:pStyle w:val="FootnoteText"/>
        <w:ind w:firstLine="709"/>
        <w:jc w:val="both"/>
      </w:pPr>
      <w:r>
        <w:rPr>
          <w:rStyle w:val="FootnoteCharacters"/>
        </w:rPr>
        <w:footnoteRef/>
      </w:r>
      <w:r>
        <w:t xml:space="preserve"> Leden Marpaung, </w:t>
      </w:r>
      <w:r>
        <w:rPr>
          <w:rStyle w:val="Emphasis"/>
        </w:rPr>
        <w:t>Tindak Pidana terhadap Harta Kekayaan</w:t>
      </w:r>
      <w:r>
        <w:t>, (Jakarta: Sinar Grafika, 2009), hlm. 21.</w:t>
      </w:r>
    </w:p>
  </w:footnote>
  <w:footnote w:id="20">
    <w:p w14:paraId="684434D3" w14:textId="77777777" w:rsidR="005E6F2C" w:rsidRDefault="009C57C4" w:rsidP="006B7248">
      <w:pPr>
        <w:pStyle w:val="FootnoteText"/>
        <w:ind w:firstLine="709"/>
        <w:jc w:val="both"/>
      </w:pPr>
      <w:r>
        <w:rPr>
          <w:rStyle w:val="FootnoteCharacters"/>
        </w:rPr>
        <w:footnoteRef/>
      </w:r>
      <w:r>
        <w:t xml:space="preserve"> Teguh Prasetyo, </w:t>
      </w:r>
      <w:r>
        <w:rPr>
          <w:rStyle w:val="Emphasis"/>
        </w:rPr>
        <w:t>Hukum Pidana</w:t>
      </w:r>
      <w:r>
        <w:t>, (Jakarta: RajaGrafindo Persada, 2016), hlm. 139.</w:t>
      </w:r>
    </w:p>
  </w:footnote>
  <w:footnote w:id="21">
    <w:p w14:paraId="1BAB6151" w14:textId="77777777" w:rsidR="005E6F2C" w:rsidRDefault="009C57C4" w:rsidP="006B7248">
      <w:pPr>
        <w:pStyle w:val="FootnoteText"/>
        <w:ind w:firstLine="709"/>
        <w:jc w:val="both"/>
      </w:pPr>
      <w:r>
        <w:rPr>
          <w:rStyle w:val="FootnoteCharacters"/>
        </w:rPr>
        <w:footnoteRef/>
      </w:r>
      <w:r>
        <w:t xml:space="preserve"> Ismu Gunadi dan Jonaedi Efendi, </w:t>
      </w:r>
      <w:r>
        <w:rPr>
          <w:rStyle w:val="Emphasis"/>
        </w:rPr>
        <w:t>Cepat dan Mudah Memahami Hukum Pidana</w:t>
      </w:r>
      <w:r>
        <w:t>, (Jakarta: Kencana, 2014), hlm. 126.</w:t>
      </w:r>
    </w:p>
  </w:footnote>
  <w:footnote w:id="22">
    <w:p w14:paraId="18C12B22" w14:textId="77777777" w:rsidR="005E6F2C" w:rsidRDefault="009C57C4" w:rsidP="006B7248">
      <w:pPr>
        <w:pStyle w:val="FootnoteText"/>
        <w:ind w:firstLine="709"/>
        <w:jc w:val="both"/>
      </w:pPr>
      <w:r>
        <w:rPr>
          <w:rStyle w:val="FootnoteCharacters"/>
        </w:rPr>
        <w:footnoteRef/>
      </w:r>
      <w:r>
        <w:t xml:space="preserve"> Tongat, </w:t>
      </w:r>
      <w:r>
        <w:rPr>
          <w:rStyle w:val="Emphasis"/>
        </w:rPr>
        <w:t>Hukum Pidana Materiil</w:t>
      </w:r>
      <w:r>
        <w:t>, (Malang: UMM Press, 2015), hlm. 165.</w:t>
      </w:r>
    </w:p>
  </w:footnote>
  <w:footnote w:id="23">
    <w:p w14:paraId="45A06E80" w14:textId="77777777" w:rsidR="005E6F2C" w:rsidRDefault="009C57C4" w:rsidP="006B7248">
      <w:pPr>
        <w:pStyle w:val="FootnoteText"/>
        <w:ind w:firstLine="709"/>
        <w:jc w:val="both"/>
      </w:pPr>
      <w:r>
        <w:rPr>
          <w:rStyle w:val="FootnoteCharacters"/>
        </w:rPr>
        <w:footnoteRef/>
      </w:r>
      <w:r>
        <w:t xml:space="preserve"> P.A.F. Lamintang, </w:t>
      </w:r>
      <w:r>
        <w:rPr>
          <w:rStyle w:val="Emphasis"/>
        </w:rPr>
        <w:t>Dasar-Dasar Hukum Pidana Indonesia</w:t>
      </w:r>
      <w:r>
        <w:t>, (Bandung: Citra Aditya Bakti, 2013), hlm. 193.</w:t>
      </w:r>
    </w:p>
  </w:footnote>
  <w:footnote w:id="24">
    <w:p w14:paraId="36BBF25A" w14:textId="77777777" w:rsidR="005E6F2C" w:rsidRDefault="009C57C4" w:rsidP="006B7248">
      <w:pPr>
        <w:pStyle w:val="FootnoteText"/>
        <w:ind w:firstLine="709"/>
        <w:jc w:val="both"/>
      </w:pPr>
      <w:r>
        <w:rPr>
          <w:rStyle w:val="FootnoteCharacters"/>
        </w:rPr>
        <w:footnoteRef/>
      </w:r>
      <w:r>
        <w:t xml:space="preserve"> S.R. Sianturi, </w:t>
      </w:r>
      <w:r>
        <w:rPr>
          <w:rStyle w:val="Emphasis"/>
        </w:rPr>
        <w:t>Tindak Pidana di KUHP Berikut Uraiannya</w:t>
      </w:r>
      <w:r>
        <w:t>, (Jakarta: Alumni AHM-PTHM, 1983), hlm. 590.</w:t>
      </w:r>
    </w:p>
  </w:footnote>
  <w:footnote w:id="25">
    <w:p w14:paraId="634D35F8" w14:textId="77777777" w:rsidR="005E6F2C" w:rsidRDefault="009C57C4" w:rsidP="006B7248">
      <w:pPr>
        <w:pStyle w:val="FootnoteText"/>
        <w:ind w:firstLine="709"/>
        <w:jc w:val="both"/>
      </w:pPr>
      <w:r>
        <w:rPr>
          <w:rStyle w:val="FootnoteCharacters"/>
        </w:rPr>
        <w:footnoteRef/>
      </w:r>
      <w:r>
        <w:t xml:space="preserve"> E.Y. Kanter dan S.R. Sianturi, </w:t>
      </w:r>
      <w:r>
        <w:rPr>
          <w:rStyle w:val="Emphasis"/>
        </w:rPr>
        <w:t>Asas-Asas Hukum Pidana di Indonesia dan Penerapannya</w:t>
      </w:r>
      <w:r>
        <w:t>, (Jakarta: Storia Grafika, 2012), hlm. 238.</w:t>
      </w:r>
    </w:p>
  </w:footnote>
  <w:footnote w:id="26">
    <w:p w14:paraId="241C4BAE" w14:textId="77777777" w:rsidR="005E6F2C" w:rsidRDefault="009C57C4" w:rsidP="006B7248">
      <w:pPr>
        <w:pStyle w:val="FootnoteText"/>
        <w:ind w:firstLine="709"/>
        <w:jc w:val="both"/>
      </w:pPr>
      <w:r>
        <w:rPr>
          <w:rStyle w:val="FootnoteCharacters"/>
        </w:rPr>
        <w:footnoteRef/>
      </w:r>
      <w:r>
        <w:t xml:space="preserve"> Chairul Huda, </w:t>
      </w:r>
      <w:r>
        <w:rPr>
          <w:rStyle w:val="Emphasis"/>
        </w:rPr>
        <w:t>Dari Tiada Pidana Tanpa Kesalahan Menuju Kepada Tiada Pertanggungjawaban Pidana Tanpa Kesalahan</w:t>
      </w:r>
      <w:r>
        <w:t>, (Jakarta: Kencana, 2011), hlm. 41.</w:t>
      </w:r>
    </w:p>
  </w:footnote>
  <w:footnote w:id="27">
    <w:p w14:paraId="6C900ADB" w14:textId="77777777" w:rsidR="005E6F2C" w:rsidRDefault="009C57C4" w:rsidP="006B7248">
      <w:pPr>
        <w:pStyle w:val="FootnoteText"/>
        <w:ind w:firstLine="709"/>
        <w:jc w:val="both"/>
      </w:pPr>
      <w:r>
        <w:rPr>
          <w:rStyle w:val="FootnoteCharacters"/>
        </w:rPr>
        <w:footnoteRef/>
      </w:r>
      <w:r>
        <w:t xml:space="preserve"> Bambang Poernomo, </w:t>
      </w:r>
      <w:r>
        <w:rPr>
          <w:rStyle w:val="Emphasis"/>
        </w:rPr>
        <w:t>Asas-Asas Hukum Pidana</w:t>
      </w:r>
      <w:r>
        <w:t>, (Jakarta: Ghalia Indonesia, 1992), hlm. 130.</w:t>
      </w:r>
    </w:p>
  </w:footnote>
  <w:footnote w:id="28">
    <w:p w14:paraId="6CFD59AF" w14:textId="77777777" w:rsidR="005E6F2C" w:rsidRDefault="009C57C4" w:rsidP="006B7248">
      <w:pPr>
        <w:pStyle w:val="FootnoteText"/>
        <w:ind w:firstLine="709"/>
        <w:jc w:val="both"/>
      </w:pPr>
      <w:r>
        <w:rPr>
          <w:rStyle w:val="FootnoteCharacters"/>
        </w:rPr>
        <w:footnoteRef/>
      </w:r>
      <w:r>
        <w:t xml:space="preserve"> Utrecht, </w:t>
      </w:r>
      <w:r>
        <w:rPr>
          <w:rStyle w:val="Emphasis"/>
        </w:rPr>
        <w:t>Hukum Pidana I</w:t>
      </w:r>
      <w:r>
        <w:t>, (Surabaya: Pustaka Tinta Mas, 1986), hlm. 265.</w:t>
      </w:r>
    </w:p>
  </w:footnote>
  <w:footnote w:id="29">
    <w:p w14:paraId="4E667E97" w14:textId="77777777" w:rsidR="005E6F2C" w:rsidRDefault="009C57C4" w:rsidP="006B7248">
      <w:pPr>
        <w:pStyle w:val="FootnoteText"/>
        <w:ind w:firstLine="709"/>
        <w:jc w:val="both"/>
      </w:pPr>
      <w:r>
        <w:rPr>
          <w:rStyle w:val="FootnoteCharacters"/>
        </w:rPr>
        <w:footnoteRef/>
      </w:r>
      <w:r>
        <w:t xml:space="preserve"> Sudarto, </w:t>
      </w:r>
      <w:r>
        <w:rPr>
          <w:rStyle w:val="Emphasis"/>
        </w:rPr>
        <w:t>Hukum Pidana I</w:t>
      </w:r>
      <w:r>
        <w:t>, (Semarang: Yayasan Sudarto, 1990), hlm. 82.</w:t>
      </w:r>
    </w:p>
  </w:footnote>
  <w:footnote w:id="30">
    <w:p w14:paraId="4D1355F9" w14:textId="77777777" w:rsidR="005E6F2C" w:rsidRDefault="009C57C4" w:rsidP="006B7248">
      <w:pPr>
        <w:pStyle w:val="FootnoteText"/>
        <w:ind w:firstLine="709"/>
        <w:jc w:val="both"/>
      </w:pPr>
      <w:r>
        <w:rPr>
          <w:rStyle w:val="FootnoteCharacters"/>
        </w:rPr>
        <w:footnoteRef/>
      </w:r>
      <w:r>
        <w:t xml:space="preserve"> Barda Nawawi Arief, </w:t>
      </w:r>
      <w:r>
        <w:rPr>
          <w:rStyle w:val="Emphasis"/>
        </w:rPr>
        <w:t>Sari Kuliah Hukum Pidana II</w:t>
      </w:r>
      <w:r>
        <w:t>, (Semarang: Badan Penyediaan Bahan Kuliah Fakultas Hukum Universitas Diponegoro, 1984), hlm. 37.</w:t>
      </w:r>
    </w:p>
  </w:footnote>
  <w:footnote w:id="31">
    <w:p w14:paraId="79D6199B" w14:textId="77777777" w:rsidR="005E6F2C" w:rsidRDefault="009C57C4" w:rsidP="006B7248">
      <w:pPr>
        <w:pStyle w:val="FootnoteText"/>
        <w:ind w:firstLine="709"/>
        <w:jc w:val="both"/>
      </w:pPr>
      <w:r>
        <w:rPr>
          <w:rStyle w:val="FootnoteCharacters"/>
        </w:rPr>
        <w:footnoteRef/>
      </w:r>
      <w:r>
        <w:t xml:space="preserve"> Laden Marpaung, </w:t>
      </w:r>
      <w:r>
        <w:rPr>
          <w:rStyle w:val="Emphasis"/>
        </w:rPr>
        <w:t>Asas-Teori-Praktik Hukum Pidana</w:t>
      </w:r>
      <w:r>
        <w:t>, (Jakarta: Sinar Grafika, 2012), hlm. 105.</w:t>
      </w:r>
    </w:p>
  </w:footnote>
  <w:footnote w:id="32">
    <w:p w14:paraId="25A13B95" w14:textId="77777777" w:rsidR="005E6F2C" w:rsidRDefault="009C57C4" w:rsidP="006B7248">
      <w:pPr>
        <w:pStyle w:val="FootnoteText"/>
        <w:ind w:firstLine="709"/>
        <w:jc w:val="both"/>
      </w:pPr>
      <w:r>
        <w:rPr>
          <w:rStyle w:val="FootnoteCharacters"/>
        </w:rPr>
        <w:footnoteRef/>
      </w:r>
      <w:r>
        <w:t xml:space="preserve"> Adami Chazawi, </w:t>
      </w:r>
      <w:r>
        <w:rPr>
          <w:rStyle w:val="Emphasis"/>
        </w:rPr>
        <w:t>Pelajaran Hukum Pidana Bagian 3: Percobaan dan Penyertaan</w:t>
      </w:r>
      <w:r>
        <w:t>, (Jakarta: RajaGrafindo Persada, 2011), hlm. 71.</w:t>
      </w:r>
    </w:p>
  </w:footnote>
  <w:footnote w:id="33">
    <w:p w14:paraId="357788BD" w14:textId="77777777" w:rsidR="005E6F2C" w:rsidRDefault="009C57C4" w:rsidP="006B7248">
      <w:pPr>
        <w:pStyle w:val="FootnoteText"/>
        <w:ind w:firstLine="709"/>
        <w:jc w:val="both"/>
      </w:pPr>
      <w:r>
        <w:rPr>
          <w:rStyle w:val="FootnoteCharacters"/>
        </w:rPr>
        <w:footnoteRef/>
      </w:r>
      <w:r>
        <w:t xml:space="preserve"> E.Y. Kanter dan S.R. Sianturi, </w:t>
      </w:r>
      <w:r>
        <w:rPr>
          <w:rStyle w:val="Emphasis"/>
        </w:rPr>
        <w:t>Asas-Asas Hukum Pidana di Indonesia dan Penerapannya</w:t>
      </w:r>
      <w:r>
        <w:t>, (Jakarta: Storia Grafika, 2012), hlm. 337.</w:t>
      </w:r>
    </w:p>
  </w:footnote>
  <w:footnote w:id="34">
    <w:p w14:paraId="45C58AAF" w14:textId="77777777" w:rsidR="005E6F2C" w:rsidRDefault="009C57C4" w:rsidP="006B7248">
      <w:pPr>
        <w:pStyle w:val="FootnoteText"/>
        <w:ind w:firstLine="709"/>
        <w:jc w:val="both"/>
      </w:pPr>
      <w:r>
        <w:rPr>
          <w:rStyle w:val="FootnoteCharacters"/>
        </w:rPr>
        <w:footnoteRef/>
      </w:r>
      <w:r>
        <w:t xml:space="preserve"> Teguh Prasetyo, </w:t>
      </w:r>
      <w:r>
        <w:rPr>
          <w:rStyle w:val="Emphasis"/>
        </w:rPr>
        <w:t>Hukum Pidana</w:t>
      </w:r>
      <w:r>
        <w:t>, (Jakarta: RajaGrafindo Persada, 2016), hlm. 204.</w:t>
      </w:r>
    </w:p>
  </w:footnote>
  <w:footnote w:id="35">
    <w:p w14:paraId="4666351D" w14:textId="77777777" w:rsidR="005E6F2C" w:rsidRDefault="009C57C4" w:rsidP="006B7248">
      <w:pPr>
        <w:pStyle w:val="FootnoteText"/>
        <w:ind w:firstLine="709"/>
        <w:jc w:val="both"/>
      </w:pPr>
      <w:r>
        <w:rPr>
          <w:rStyle w:val="FootnoteCharacters"/>
        </w:rPr>
        <w:footnoteRef/>
      </w:r>
      <w:r>
        <w:t xml:space="preserve"> Leden Marpaung, </w:t>
      </w:r>
      <w:r>
        <w:rPr>
          <w:rStyle w:val="Emphasis"/>
        </w:rPr>
        <w:t>Asas-Teori-Praktik Hukum Pidana</w:t>
      </w:r>
      <w:r>
        <w:t>, (Jakarta: Sinar Grafika, 2012), hlm. 80.</w:t>
      </w:r>
    </w:p>
  </w:footnote>
  <w:footnote w:id="36">
    <w:p w14:paraId="5A1075B2" w14:textId="77777777" w:rsidR="005E6F2C" w:rsidRDefault="009C57C4" w:rsidP="006B7248">
      <w:pPr>
        <w:pStyle w:val="FootnoteText"/>
        <w:ind w:firstLine="709"/>
        <w:jc w:val="both"/>
      </w:pPr>
      <w:r>
        <w:rPr>
          <w:rStyle w:val="FootnoteCharacters"/>
        </w:rPr>
        <w:footnoteRef/>
      </w:r>
      <w:r>
        <w:t xml:space="preserve"> Andi Hamzah, </w:t>
      </w:r>
      <w:r>
        <w:rPr>
          <w:rStyle w:val="Emphasis"/>
        </w:rPr>
        <w:t>KUHP dan KUHAP</w:t>
      </w:r>
      <w:r>
        <w:t>, (Jakarta: Rineka Cipta, 2015), hlm. 27.</w:t>
      </w:r>
    </w:p>
  </w:footnote>
  <w:footnote w:id="37">
    <w:p w14:paraId="4480178A" w14:textId="77777777" w:rsidR="005E6F2C" w:rsidRDefault="009C57C4" w:rsidP="006B7248">
      <w:pPr>
        <w:pStyle w:val="FootnoteText"/>
        <w:ind w:firstLine="709"/>
        <w:jc w:val="both"/>
      </w:pPr>
      <w:r>
        <w:rPr>
          <w:rStyle w:val="FootnoteCharacters"/>
        </w:rPr>
        <w:footnoteRef/>
      </w:r>
      <w:r>
        <w:t xml:space="preserve"> Moeljatno, </w:t>
      </w:r>
      <w:r>
        <w:rPr>
          <w:rStyle w:val="Emphasis"/>
        </w:rPr>
        <w:t>Asas-Asas Hukum Pidana</w:t>
      </w:r>
      <w:r>
        <w:t>, (Jakarta: Rineka Cipta, 2008), hlm. 112.</w:t>
      </w:r>
    </w:p>
  </w:footnote>
  <w:footnote w:id="38">
    <w:p w14:paraId="0113D5DD" w14:textId="77777777" w:rsidR="005E6F2C" w:rsidRDefault="009C57C4" w:rsidP="006B7248">
      <w:pPr>
        <w:pStyle w:val="FootnoteText"/>
        <w:ind w:firstLine="709"/>
        <w:jc w:val="both"/>
      </w:pPr>
      <w:r>
        <w:rPr>
          <w:rStyle w:val="FootnoteCharacters"/>
        </w:rPr>
        <w:footnoteRef/>
      </w:r>
      <w:r>
        <w:t xml:space="preserve"> R. Soesilo, </w:t>
      </w:r>
      <w:r>
        <w:rPr>
          <w:rStyle w:val="Emphasis"/>
        </w:rPr>
        <w:t>Kitab Undang-Undang Hukum Pidana serta Komentar-Komentarnya Lengkap Pasal Demi Pasal</w:t>
      </w:r>
      <w:r>
        <w:t>, (Bogor: Politeia, 1995), hlm. 74.</w:t>
      </w:r>
    </w:p>
  </w:footnote>
  <w:footnote w:id="39">
    <w:p w14:paraId="710032C2" w14:textId="77777777" w:rsidR="005E6F2C" w:rsidRDefault="009C57C4" w:rsidP="006B7248">
      <w:pPr>
        <w:pStyle w:val="FootnoteText"/>
        <w:ind w:firstLine="709"/>
        <w:jc w:val="both"/>
      </w:pPr>
      <w:r>
        <w:rPr>
          <w:rStyle w:val="FootnoteCharacters"/>
        </w:rPr>
        <w:footnoteRef/>
      </w:r>
      <w:r>
        <w:t xml:space="preserve"> Chairul Huda, </w:t>
      </w:r>
      <w:r>
        <w:rPr>
          <w:rStyle w:val="Emphasis"/>
        </w:rPr>
        <w:t>Dari Tiada Pidana Tanpa Kesalahan Menuju Kepada Tiada Pertanggungjawaban Pidana Tanpa Kesalahan</w:t>
      </w:r>
      <w:r>
        <w:t>, (Jakarta: Kencana, 2011), hlm. 52.</w:t>
      </w:r>
    </w:p>
  </w:footnote>
  <w:footnote w:id="40">
    <w:p w14:paraId="2FA83484" w14:textId="77777777" w:rsidR="005E6F2C" w:rsidRDefault="009C57C4" w:rsidP="006B7248">
      <w:pPr>
        <w:pStyle w:val="FootnoteText"/>
        <w:ind w:firstLine="709"/>
        <w:jc w:val="both"/>
      </w:pPr>
      <w:r>
        <w:rPr>
          <w:rStyle w:val="FootnoteCharacters"/>
        </w:rPr>
        <w:footnoteRef/>
      </w:r>
      <w:r>
        <w:t xml:space="preserve"> Wirjono Prodjodikoro, </w:t>
      </w:r>
      <w:r>
        <w:rPr>
          <w:rStyle w:val="Emphasis"/>
        </w:rPr>
        <w:t>Asas-Asas Hukum Pidana di Indonesia</w:t>
      </w:r>
      <w:r>
        <w:t>, (Bandung: Refika Aditama, 2014), hlm. 119.</w:t>
      </w:r>
    </w:p>
  </w:footnote>
  <w:footnote w:id="41">
    <w:p w14:paraId="62F36A84" w14:textId="77777777" w:rsidR="005E6F2C" w:rsidRDefault="009C57C4" w:rsidP="006B7248">
      <w:pPr>
        <w:pStyle w:val="FootnoteText"/>
        <w:ind w:firstLine="709"/>
        <w:jc w:val="both"/>
      </w:pPr>
      <w:r>
        <w:rPr>
          <w:rStyle w:val="FootnoteCharacters"/>
        </w:rPr>
        <w:footnoteRef/>
      </w:r>
      <w:r>
        <w:t xml:space="preserve"> an Remmelink, </w:t>
      </w:r>
      <w:r>
        <w:rPr>
          <w:rStyle w:val="Emphasis"/>
        </w:rPr>
        <w:t>Hukum Pidana: Komentar atas Pasal-Pasal Terpenting dari KUHP Belanda dan Padanannya dalam KUHP Indonesia</w:t>
      </w:r>
      <w:r>
        <w:t>, (Jakarta: Gramedia Pustaka Utama, 2003), hlm. 307.</w:t>
      </w:r>
    </w:p>
  </w:footnote>
  <w:footnote w:id="42">
    <w:p w14:paraId="2F4A3D7E" w14:textId="77777777" w:rsidR="005E6F2C" w:rsidRDefault="009C57C4" w:rsidP="006B7248">
      <w:pPr>
        <w:pStyle w:val="FootnoteText"/>
        <w:ind w:firstLine="709"/>
        <w:jc w:val="both"/>
      </w:pPr>
      <w:r>
        <w:rPr>
          <w:rStyle w:val="FootnoteCharacters"/>
        </w:rPr>
        <w:footnoteRef/>
      </w:r>
      <w:r>
        <w:t xml:space="preserve"> Utrecht, </w:t>
      </w:r>
      <w:r>
        <w:rPr>
          <w:rStyle w:val="Emphasis"/>
        </w:rPr>
        <w:t>Hukum Pidana I</w:t>
      </w:r>
      <w:r>
        <w:t>, (Surabaya: Pustaka Tinta Mas, 1986), hlm. 300.</w:t>
      </w:r>
    </w:p>
  </w:footnote>
  <w:footnote w:id="43">
    <w:p w14:paraId="4E25E80F" w14:textId="77777777" w:rsidR="005E6F2C" w:rsidRDefault="009C57C4" w:rsidP="006B7248">
      <w:pPr>
        <w:pStyle w:val="FootnoteText"/>
        <w:ind w:firstLine="709"/>
        <w:jc w:val="both"/>
      </w:pPr>
      <w:r>
        <w:rPr>
          <w:rStyle w:val="FootnoteCharacters"/>
        </w:rPr>
        <w:footnoteRef/>
      </w:r>
      <w:r>
        <w:t xml:space="preserve"> Bambang Poernomo, </w:t>
      </w:r>
      <w:r>
        <w:rPr>
          <w:rStyle w:val="Emphasis"/>
        </w:rPr>
        <w:t>Asas-Asas Hukum Pidana</w:t>
      </w:r>
      <w:r>
        <w:t>, (Jakarta: Ghalia Indonesia, 1992), hlm. 153.</w:t>
      </w:r>
    </w:p>
  </w:footnote>
  <w:footnote w:id="44">
    <w:p w14:paraId="1F4466C3" w14:textId="77777777" w:rsidR="005E6F2C" w:rsidRDefault="009C57C4" w:rsidP="006B7248">
      <w:pPr>
        <w:pStyle w:val="FootnoteText"/>
        <w:ind w:firstLine="709"/>
        <w:jc w:val="both"/>
      </w:pPr>
      <w:r>
        <w:rPr>
          <w:rStyle w:val="FootnoteCharacters"/>
        </w:rPr>
        <w:footnoteRef/>
      </w:r>
      <w:r>
        <w:t xml:space="preserve"> Andi Hamzah, </w:t>
      </w:r>
      <w:r>
        <w:rPr>
          <w:rStyle w:val="Emphasis"/>
        </w:rPr>
        <w:t>Asas-Asas Hukum Pidana</w:t>
      </w:r>
      <w:r>
        <w:t>, (Jakarta: Rineka Cipta, 2010), hlm. 102.</w:t>
      </w:r>
    </w:p>
  </w:footnote>
  <w:footnote w:id="45">
    <w:p w14:paraId="1E26FC1E" w14:textId="77777777" w:rsidR="005E6F2C" w:rsidRDefault="009C57C4" w:rsidP="006B7248">
      <w:pPr>
        <w:pStyle w:val="FootnoteText"/>
        <w:ind w:firstLine="709"/>
        <w:jc w:val="both"/>
      </w:pPr>
      <w:r>
        <w:rPr>
          <w:rStyle w:val="FootnoteCharacters"/>
        </w:rPr>
        <w:footnoteRef/>
      </w:r>
      <w:r>
        <w:t xml:space="preserve"> R. Soesilo, </w:t>
      </w:r>
      <w:r>
        <w:rPr>
          <w:rStyle w:val="Emphasis"/>
        </w:rPr>
        <w:t>Kitab Undang-Undang Hukum Pidana serta Komentar-Komentarnya Lengkap Pasal Demi Pasal</w:t>
      </w:r>
      <w:r>
        <w:t>, (Bogor: Politeia, 1995), hlm. 254.</w:t>
      </w:r>
    </w:p>
  </w:footnote>
  <w:footnote w:id="46">
    <w:p w14:paraId="58A2C3FE" w14:textId="77777777" w:rsidR="005E6F2C" w:rsidRDefault="009C57C4" w:rsidP="006B7248">
      <w:pPr>
        <w:pStyle w:val="FootnoteText"/>
        <w:ind w:firstLine="709"/>
        <w:jc w:val="both"/>
      </w:pPr>
      <w:r>
        <w:rPr>
          <w:rStyle w:val="FootnoteCharacters"/>
        </w:rPr>
        <w:footnoteRef/>
      </w:r>
      <w:r>
        <w:t xml:space="preserve"> Teguh Prasetyo, </w:t>
      </w:r>
      <w:r>
        <w:rPr>
          <w:rStyle w:val="Emphasis"/>
        </w:rPr>
        <w:t>Hukum Pidana</w:t>
      </w:r>
      <w:r>
        <w:t>, (Jakarta: RajaGrafindo Persada, 2016), hlm. 145.</w:t>
      </w:r>
    </w:p>
  </w:footnote>
  <w:footnote w:id="47">
    <w:p w14:paraId="7745D0D8" w14:textId="77777777" w:rsidR="005E6F2C" w:rsidRDefault="009C57C4" w:rsidP="006B7248">
      <w:pPr>
        <w:pStyle w:val="FootnoteText"/>
        <w:ind w:firstLine="709"/>
        <w:jc w:val="both"/>
      </w:pPr>
      <w:r>
        <w:rPr>
          <w:rStyle w:val="FootnoteCharacters"/>
        </w:rPr>
        <w:footnoteRef/>
      </w:r>
      <w:r>
        <w:t xml:space="preserve"> P.A.F. Lamintang dan Theo Lamintang, </w:t>
      </w:r>
      <w:r>
        <w:rPr>
          <w:rStyle w:val="Emphasis"/>
        </w:rPr>
        <w:t>Delik-Delik Khusus Kejahatan terhadap Harta Kekayaan</w:t>
      </w:r>
      <w:r>
        <w:t>, (Jakarta: Sinar Grafika, 2009), hlm. 68.</w:t>
      </w:r>
    </w:p>
  </w:footnote>
  <w:footnote w:id="48">
    <w:p w14:paraId="4C69EC0C" w14:textId="77777777" w:rsidR="005E6F2C" w:rsidRDefault="009C57C4" w:rsidP="006B7248">
      <w:pPr>
        <w:pStyle w:val="FootnoteText"/>
        <w:ind w:firstLine="709"/>
        <w:jc w:val="both"/>
      </w:pPr>
      <w:r>
        <w:rPr>
          <w:rStyle w:val="FootnoteCharacters"/>
        </w:rPr>
        <w:footnoteRef/>
      </w:r>
      <w:r>
        <w:t xml:space="preserve"> E.Y. Kanter dan S.R. Sianturi, </w:t>
      </w:r>
      <w:r>
        <w:rPr>
          <w:rStyle w:val="Emphasis"/>
        </w:rPr>
        <w:t>Asas-Asas Hukum Pidana di Indonesia dan Penerapannya</w:t>
      </w:r>
      <w:r>
        <w:t>, (Jakarta: Storia Grafika, 2012), hlm. 412.</w:t>
      </w:r>
    </w:p>
  </w:footnote>
  <w:footnote w:id="49">
    <w:p w14:paraId="169172AF" w14:textId="77777777" w:rsidR="005E6F2C" w:rsidRDefault="009C57C4" w:rsidP="006B7248">
      <w:pPr>
        <w:pStyle w:val="FootnoteText"/>
        <w:ind w:firstLine="709"/>
        <w:jc w:val="both"/>
      </w:pPr>
      <w:r>
        <w:rPr>
          <w:rStyle w:val="FootnoteCharacters"/>
        </w:rPr>
        <w:footnoteRef/>
      </w:r>
      <w:r>
        <w:t xml:space="preserve"> Chairul Huda, </w:t>
      </w:r>
      <w:r>
        <w:rPr>
          <w:rStyle w:val="Emphasis"/>
        </w:rPr>
        <w:t>Dari Tiada Pidana Tanpa Kesalahan</w:t>
      </w:r>
      <w:r>
        <w:t>, (Jakarta: Kencana, 2011), hlm. 88.</w:t>
      </w:r>
    </w:p>
  </w:footnote>
  <w:footnote w:id="50">
    <w:p w14:paraId="64E973BF" w14:textId="77777777" w:rsidR="005E6F2C" w:rsidRDefault="009C57C4" w:rsidP="006B7248">
      <w:pPr>
        <w:pStyle w:val="FootnoteText"/>
        <w:ind w:firstLine="709"/>
        <w:jc w:val="both"/>
      </w:pPr>
      <w:r>
        <w:rPr>
          <w:rStyle w:val="FootnoteCharacters"/>
        </w:rPr>
        <w:footnoteRef/>
      </w:r>
      <w:r>
        <w:t xml:space="preserve"> Leden Marpaung, </w:t>
      </w:r>
      <w:r>
        <w:rPr>
          <w:rStyle w:val="Emphasis"/>
        </w:rPr>
        <w:t>Asas-Teori-Praktik Hukum Pidana</w:t>
      </w:r>
      <w:r>
        <w:t>, (Jakarta: Sinar Grafika, 2012), hlm. 134.</w:t>
      </w:r>
    </w:p>
  </w:footnote>
  <w:footnote w:id="51">
    <w:p w14:paraId="6B0A4DDC" w14:textId="77777777" w:rsidR="005E6F2C" w:rsidRDefault="009C57C4" w:rsidP="006B7248">
      <w:pPr>
        <w:pStyle w:val="FootnoteText"/>
        <w:ind w:firstLine="709"/>
        <w:jc w:val="both"/>
      </w:pPr>
      <w:r>
        <w:rPr>
          <w:rStyle w:val="FootnoteCharacters"/>
        </w:rPr>
        <w:footnoteRef/>
      </w:r>
      <w:r>
        <w:t xml:space="preserve"> M. Yahya Harahap, </w:t>
      </w:r>
      <w:r>
        <w:rPr>
          <w:rStyle w:val="Emphasis"/>
        </w:rPr>
        <w:t>Pembahasan Permasalahan dan Penerapan KUHAP</w:t>
      </w:r>
      <w:r>
        <w:t>, (Jakarta: Sinar Grafika, 2012), hlm. 289.</w:t>
      </w:r>
    </w:p>
  </w:footnote>
  <w:footnote w:id="52">
    <w:p w14:paraId="0559EB35" w14:textId="77777777" w:rsidR="005E6F2C" w:rsidRDefault="009C57C4" w:rsidP="006B7248">
      <w:pPr>
        <w:pStyle w:val="FootnoteText"/>
        <w:ind w:firstLine="709"/>
        <w:jc w:val="both"/>
      </w:pPr>
      <w:r>
        <w:rPr>
          <w:rStyle w:val="FootnoteCharacters"/>
        </w:rPr>
        <w:footnoteRef/>
      </w:r>
      <w:r>
        <w:t xml:space="preserve"> Barda Nawawi Arief, </w:t>
      </w:r>
      <w:r>
        <w:rPr>
          <w:rStyle w:val="Emphasis"/>
        </w:rPr>
        <w:t>Bunga Rampai Kebijakan Hukum Pidana</w:t>
      </w:r>
      <w:r>
        <w:t>, (Jakarta: Kencana, 2011), hlm. 77.</w:t>
      </w:r>
    </w:p>
  </w:footnote>
  <w:footnote w:id="53">
    <w:p w14:paraId="65A11483" w14:textId="77777777" w:rsidR="005E6F2C" w:rsidRDefault="009C57C4" w:rsidP="006B7248">
      <w:pPr>
        <w:pStyle w:val="FootnoteText"/>
        <w:ind w:firstLine="709"/>
        <w:jc w:val="both"/>
      </w:pPr>
      <w:r>
        <w:rPr>
          <w:rStyle w:val="FootnoteCharacters"/>
        </w:rPr>
        <w:footnoteRef/>
      </w:r>
      <w:r>
        <w:t xml:space="preserve"> Moeljatno, </w:t>
      </w:r>
      <w:r>
        <w:rPr>
          <w:rStyle w:val="Emphasis"/>
        </w:rPr>
        <w:t>Asas-Asas Hukum Pidana</w:t>
      </w:r>
      <w:r>
        <w:t>, (Jakarta: Rineka Cipta, 2008), hlm. 132.</w:t>
      </w:r>
    </w:p>
  </w:footnote>
  <w:footnote w:id="54">
    <w:p w14:paraId="6F9CD1A2" w14:textId="77777777" w:rsidR="005E6F2C" w:rsidRDefault="009C57C4" w:rsidP="006B7248">
      <w:pPr>
        <w:pStyle w:val="FootnoteText"/>
        <w:ind w:firstLine="709"/>
        <w:jc w:val="both"/>
      </w:pPr>
      <w:r>
        <w:rPr>
          <w:rStyle w:val="FootnoteCharacters"/>
        </w:rPr>
        <w:footnoteRef/>
      </w:r>
      <w:r>
        <w:t xml:space="preserve"> Jan Remmelink, </w:t>
      </w:r>
      <w:r>
        <w:rPr>
          <w:rStyle w:val="Emphasis"/>
        </w:rPr>
        <w:t>Hukum Pidana</w:t>
      </w:r>
      <w:r>
        <w:t>, (Jakarta: Gramedia, 2003), hlm. 310.</w:t>
      </w:r>
    </w:p>
  </w:footnote>
  <w:footnote w:id="55">
    <w:p w14:paraId="6E233134" w14:textId="77777777" w:rsidR="005E6F2C" w:rsidRDefault="009C57C4" w:rsidP="006B7248">
      <w:pPr>
        <w:pStyle w:val="FootnoteText"/>
        <w:ind w:firstLine="709"/>
        <w:jc w:val="both"/>
      </w:pPr>
      <w:r>
        <w:rPr>
          <w:rStyle w:val="FootnoteCharacters"/>
        </w:rPr>
        <w:footnoteRef/>
      </w:r>
      <w:r>
        <w:t xml:space="preserve"> Utrecht, </w:t>
      </w:r>
      <w:r>
        <w:rPr>
          <w:rStyle w:val="Emphasis"/>
        </w:rPr>
        <w:t>Hukum Pidana I</w:t>
      </w:r>
      <w:r>
        <w:t>, (Surabaya: Pustaka Tinta Mas, 1986), hlm. 278.</w:t>
      </w:r>
    </w:p>
  </w:footnote>
  <w:footnote w:id="56">
    <w:p w14:paraId="572393BF" w14:textId="77777777" w:rsidR="005E6F2C" w:rsidRDefault="009C57C4" w:rsidP="006B7248">
      <w:pPr>
        <w:pStyle w:val="FootnoteText"/>
        <w:ind w:firstLine="709"/>
        <w:jc w:val="both"/>
      </w:pPr>
      <w:r>
        <w:rPr>
          <w:rStyle w:val="FootnoteCharacters"/>
        </w:rPr>
        <w:footnoteRef/>
      </w:r>
      <w:r>
        <w:t xml:space="preserve"> Sudarto, </w:t>
      </w:r>
      <w:r>
        <w:rPr>
          <w:rStyle w:val="Emphasis"/>
        </w:rPr>
        <w:t>Hukum Pidana I</w:t>
      </w:r>
      <w:r>
        <w:t>, (Semarang: Yayasan Sudarto, 1990), hlm. 96.</w:t>
      </w:r>
    </w:p>
  </w:footnote>
  <w:footnote w:id="57">
    <w:p w14:paraId="0AE7E9F8" w14:textId="77777777" w:rsidR="005E6F2C" w:rsidRDefault="009C57C4" w:rsidP="006B7248">
      <w:pPr>
        <w:pStyle w:val="FootnoteText"/>
        <w:ind w:firstLine="709"/>
        <w:jc w:val="both"/>
      </w:pPr>
      <w:r>
        <w:rPr>
          <w:rStyle w:val="FootnoteCharacters"/>
        </w:rPr>
        <w:footnoteRef/>
      </w:r>
      <w:r>
        <w:t xml:space="preserve"> Bambang Poernomo, </w:t>
      </w:r>
      <w:r>
        <w:rPr>
          <w:rStyle w:val="Emphasis"/>
        </w:rPr>
        <w:t>Asas-Asas Hukum Pidana</w:t>
      </w:r>
      <w:r>
        <w:t>, (Jakarta: Ghalia Indonesia, 1992), hlm. 167.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4EC09" w14:textId="0BFFCBAC" w:rsidR="00457008" w:rsidRDefault="00457008">
    <w:pPr>
      <w:pStyle w:val="Header"/>
    </w:pPr>
    <w:r>
      <w:rPr>
        <w:noProof/>
      </w:rPr>
      <w:pict w14:anchorId="6F353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4" o:spid="_x0000_s2065" type="#_x0000_t75" style="position:absolute;margin-left:0;margin-top:0;width:396.45pt;height:390.95pt;z-index:-25164185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F3DBD" w14:textId="67196691" w:rsidR="005E6F2C" w:rsidRDefault="00457008">
    <w:pPr>
      <w:pStyle w:val="Header"/>
      <w:jc w:val="right"/>
    </w:pPr>
    <w:r>
      <w:rPr>
        <w:noProof/>
      </w:rPr>
      <w:pict w14:anchorId="5480B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5" o:spid="_x0000_s2066" type="#_x0000_t75" style="position:absolute;left:0;text-align:left;margin-left:0;margin-top:0;width:396.45pt;height:390.95pt;z-index:-251640832;mso-position-horizontal:center;mso-position-horizontal-relative:margin;mso-position-vertical:center;mso-position-vertical-relative:margin" o:allowincell="f">
          <v:imagedata r:id="rId1" o:title="WhatsApp Image 2026-09-14 at 09.02.31" gain="19661f" blacklevel="22938f"/>
        </v:shape>
      </w:pict>
    </w:r>
    <w:r w:rsidR="009C57C4">
      <w:fldChar w:fldCharType="begin"/>
    </w:r>
    <w:r w:rsidR="009C57C4">
      <w:instrText xml:space="preserve"> PAGE </w:instrText>
    </w:r>
    <w:r w:rsidR="009C57C4">
      <w:fldChar w:fldCharType="separate"/>
    </w:r>
    <w:r w:rsidR="000545C5">
      <w:rPr>
        <w:noProof/>
      </w:rPr>
      <w:t>2</w:t>
    </w:r>
    <w:r w:rsidR="009C57C4">
      <w:fldChar w:fldCharType="end"/>
    </w:r>
  </w:p>
  <w:p w14:paraId="5D30684E" w14:textId="77777777" w:rsidR="005E6F2C" w:rsidRDefault="005E6F2C">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3C5D2" w14:textId="3D01A8D7" w:rsidR="005E6F2C" w:rsidRDefault="00457008">
    <w:pPr>
      <w:pStyle w:val="Header"/>
    </w:pPr>
    <w:r>
      <w:rPr>
        <w:noProof/>
      </w:rPr>
      <w:pict w14:anchorId="03B70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3" o:spid="_x0000_s2064" type="#_x0000_t75" style="position:absolute;margin-left:0;margin-top:0;width:396.45pt;height:390.95pt;z-index:-25164288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C1E"/>
    <w:multiLevelType w:val="multilevel"/>
    <w:tmpl w:val="839C8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CA4958"/>
    <w:multiLevelType w:val="hybridMultilevel"/>
    <w:tmpl w:val="DD605B02"/>
    <w:lvl w:ilvl="0" w:tplc="C0C25088">
      <w:start w:val="1"/>
      <w:numFmt w:val="decimal"/>
      <w:lvlText w:val="%1."/>
      <w:lvlJc w:val="left"/>
      <w:pPr>
        <w:ind w:left="720" w:hanging="360"/>
      </w:pPr>
      <w:rPr>
        <w:rFonts w:ascii="Times New Roman" w:hAnsi="Times New Roman" w:cs="Times New Roman" w:hint="default"/>
        <w:b w:val="0"/>
        <w:bCs w:val="0"/>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23C20B5D"/>
    <w:multiLevelType w:val="multilevel"/>
    <w:tmpl w:val="5D26CCDE"/>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523AA0"/>
    <w:multiLevelType w:val="multilevel"/>
    <w:tmpl w:val="8E84FE2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263DB0"/>
    <w:multiLevelType w:val="multilevel"/>
    <w:tmpl w:val="A0FA2B2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1943C0"/>
    <w:multiLevelType w:val="multilevel"/>
    <w:tmpl w:val="B53C509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C242F"/>
    <w:multiLevelType w:val="multilevel"/>
    <w:tmpl w:val="B9D846A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823E66"/>
    <w:multiLevelType w:val="multilevel"/>
    <w:tmpl w:val="35569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86A202C"/>
    <w:multiLevelType w:val="multilevel"/>
    <w:tmpl w:val="C16CF49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5BA87567"/>
    <w:multiLevelType w:val="multilevel"/>
    <w:tmpl w:val="922624F6"/>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BA309D"/>
    <w:multiLevelType w:val="multilevel"/>
    <w:tmpl w:val="7FA44544"/>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E14475"/>
    <w:multiLevelType w:val="multilevel"/>
    <w:tmpl w:val="DC1E2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CDA461D"/>
    <w:multiLevelType w:val="multilevel"/>
    <w:tmpl w:val="2EEC6FEE"/>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E60C82"/>
    <w:multiLevelType w:val="multilevel"/>
    <w:tmpl w:val="16D0A51C"/>
    <w:lvl w:ilvl="0">
      <w:start w:val="1"/>
      <w:numFmt w:val="decimal"/>
      <w:lvlText w:val="%1."/>
      <w:lvlJc w:val="left"/>
      <w:pPr>
        <w:tabs>
          <w:tab w:val="num" w:pos="72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10"/>
  </w:num>
  <w:num w:numId="4">
    <w:abstractNumId w:val="5"/>
  </w:num>
  <w:num w:numId="5">
    <w:abstractNumId w:val="9"/>
  </w:num>
  <w:num w:numId="6">
    <w:abstractNumId w:val="2"/>
  </w:num>
  <w:num w:numId="7">
    <w:abstractNumId w:val="12"/>
  </w:num>
  <w:num w:numId="8">
    <w:abstractNumId w:val="4"/>
  </w:num>
  <w:num w:numId="9">
    <w:abstractNumId w:val="13"/>
  </w:num>
  <w:num w:numId="10">
    <w:abstractNumId w:val="6"/>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autoHyphenation/>
  <w:hyphenationZone w:val="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F2C"/>
    <w:rsid w:val="00013BBA"/>
    <w:rsid w:val="000545C5"/>
    <w:rsid w:val="0006018B"/>
    <w:rsid w:val="00103A55"/>
    <w:rsid w:val="0012082D"/>
    <w:rsid w:val="0012507D"/>
    <w:rsid w:val="001762AD"/>
    <w:rsid w:val="002249AF"/>
    <w:rsid w:val="00271660"/>
    <w:rsid w:val="00295DA4"/>
    <w:rsid w:val="002D6330"/>
    <w:rsid w:val="00413A30"/>
    <w:rsid w:val="00457008"/>
    <w:rsid w:val="00481D99"/>
    <w:rsid w:val="004A7187"/>
    <w:rsid w:val="00560193"/>
    <w:rsid w:val="00590457"/>
    <w:rsid w:val="005E6F2C"/>
    <w:rsid w:val="006B3A37"/>
    <w:rsid w:val="006B7248"/>
    <w:rsid w:val="006E7FC8"/>
    <w:rsid w:val="00712266"/>
    <w:rsid w:val="0072287D"/>
    <w:rsid w:val="007C17E3"/>
    <w:rsid w:val="00953761"/>
    <w:rsid w:val="009C57C4"/>
    <w:rsid w:val="009E3D9D"/>
    <w:rsid w:val="00A0571E"/>
    <w:rsid w:val="00A67E38"/>
    <w:rsid w:val="00AA082D"/>
    <w:rsid w:val="00B822FC"/>
    <w:rsid w:val="00C05DF9"/>
    <w:rsid w:val="00C501DE"/>
    <w:rsid w:val="00C66659"/>
    <w:rsid w:val="00D24EA3"/>
    <w:rsid w:val="00D728E3"/>
    <w:rsid w:val="00F332A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77E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1BFF6-A056-4BE8-B851-2DB73C464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4231</Words>
  <Characters>24122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lhggroup</dc:creator>
  <cp:lastModifiedBy>user</cp:lastModifiedBy>
  <cp:revision>2</cp:revision>
  <cp:lastPrinted>2026-09-10T10:49:00Z</cp:lastPrinted>
  <dcterms:created xsi:type="dcterms:W3CDTF">2026-09-18T05:11:00Z</dcterms:created>
  <dcterms:modified xsi:type="dcterms:W3CDTF">2026-09-18T05:11:00Z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