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A6823" w14:textId="77777777" w:rsidR="005E6F2C" w:rsidRDefault="009C57C4" w:rsidP="00953761">
      <w:pPr>
        <w:pStyle w:val="Heading1"/>
        <w:numPr>
          <w:ilvl w:val="0"/>
          <w:numId w:val="0"/>
        </w:numPr>
      </w:pPr>
      <w:bookmarkStart w:id="0" w:name="_Toc232117612"/>
      <w:bookmarkStart w:id="1" w:name="_GoBack"/>
      <w:bookmarkEnd w:id="1"/>
      <w:r>
        <w:t>BAB IV</w:t>
      </w:r>
      <w:bookmarkEnd w:id="0"/>
    </w:p>
    <w:p w14:paraId="7B29DF6D" w14:textId="77777777" w:rsidR="005E6F2C" w:rsidRDefault="009C57C4">
      <w:pPr>
        <w:pStyle w:val="Heading1"/>
      </w:pPr>
      <w:bookmarkStart w:id="2" w:name="_Toc232117613"/>
      <w:r>
        <w:t>HASIL DAN PEMBAHASAN</w:t>
      </w:r>
      <w:bookmarkEnd w:id="2"/>
    </w:p>
    <w:p w14:paraId="106D5B33" w14:textId="77777777" w:rsidR="005E6F2C" w:rsidRDefault="005E6F2C">
      <w:pPr>
        <w:spacing w:line="480" w:lineRule="auto"/>
        <w:jc w:val="both"/>
        <w:rPr>
          <w:b/>
          <w:bCs/>
        </w:rPr>
      </w:pPr>
    </w:p>
    <w:p w14:paraId="4E507E15" w14:textId="77777777" w:rsidR="005E6F2C" w:rsidRPr="00481D99" w:rsidRDefault="009C57C4">
      <w:pPr>
        <w:pStyle w:val="Heading2"/>
        <w:ind w:left="709" w:hanging="709"/>
        <w:jc w:val="both"/>
        <w:rPr>
          <w:b w:val="0"/>
          <w:bCs w:val="0"/>
        </w:rPr>
      </w:pPr>
      <w:bookmarkStart w:id="3" w:name="_Toc232117614"/>
      <w:r w:rsidRPr="00481D99">
        <w:rPr>
          <w:rStyle w:val="Strong"/>
          <w:b/>
          <w:bCs/>
        </w:rPr>
        <w:t xml:space="preserve">A. </w:t>
      </w:r>
      <w:r w:rsidRPr="00481D99">
        <w:rPr>
          <w:rStyle w:val="Strong"/>
          <w:b/>
          <w:bCs/>
        </w:rPr>
        <w:tab/>
      </w:r>
      <w:proofErr w:type="spellStart"/>
      <w:r w:rsidRPr="00481D99">
        <w:rPr>
          <w:rStyle w:val="Strong"/>
          <w:b/>
          <w:bCs/>
        </w:rPr>
        <w:t>Penerapan</w:t>
      </w:r>
      <w:proofErr w:type="spellEnd"/>
      <w:r w:rsidRPr="00481D99">
        <w:rPr>
          <w:rStyle w:val="Strong"/>
          <w:b/>
          <w:bCs/>
        </w:rPr>
        <w:t xml:space="preserve"> </w:t>
      </w:r>
      <w:proofErr w:type="spellStart"/>
      <w:r w:rsidRPr="00481D99">
        <w:rPr>
          <w:rStyle w:val="Strong"/>
          <w:b/>
          <w:bCs/>
        </w:rPr>
        <w:t>Unsur-Unsur</w:t>
      </w:r>
      <w:proofErr w:type="spellEnd"/>
      <w:r w:rsidRPr="00481D99">
        <w:rPr>
          <w:rStyle w:val="Strong"/>
          <w:b/>
          <w:bCs/>
        </w:rPr>
        <w:t xml:space="preserve"> </w:t>
      </w:r>
      <w:proofErr w:type="spellStart"/>
      <w:r w:rsidRPr="00481D99">
        <w:rPr>
          <w:rStyle w:val="Strong"/>
          <w:b/>
          <w:bCs/>
        </w:rPr>
        <w:t>Tindak</w:t>
      </w:r>
      <w:proofErr w:type="spellEnd"/>
      <w:r w:rsidRPr="00481D99">
        <w:rPr>
          <w:rStyle w:val="Strong"/>
          <w:b/>
          <w:bCs/>
        </w:rPr>
        <w:t xml:space="preserve"> </w:t>
      </w:r>
      <w:proofErr w:type="spellStart"/>
      <w:r w:rsidRPr="00481D99">
        <w:rPr>
          <w:rStyle w:val="Strong"/>
          <w:b/>
          <w:bCs/>
        </w:rPr>
        <w:t>Pidana</w:t>
      </w:r>
      <w:proofErr w:type="spellEnd"/>
      <w:r w:rsidRPr="00481D99">
        <w:rPr>
          <w:rStyle w:val="Strong"/>
          <w:b/>
          <w:bCs/>
        </w:rPr>
        <w:t xml:space="preserve"> </w:t>
      </w:r>
      <w:proofErr w:type="spellStart"/>
      <w:r w:rsidRPr="00481D99">
        <w:rPr>
          <w:rStyle w:val="Strong"/>
          <w:b/>
          <w:bCs/>
        </w:rPr>
        <w:t>Pencurian</w:t>
      </w:r>
      <w:proofErr w:type="spellEnd"/>
      <w:r w:rsidRPr="00481D99">
        <w:rPr>
          <w:rStyle w:val="Strong"/>
          <w:b/>
          <w:bCs/>
        </w:rPr>
        <w:t xml:space="preserve"> </w:t>
      </w:r>
      <w:proofErr w:type="spellStart"/>
      <w:r w:rsidRPr="00481D99">
        <w:rPr>
          <w:rStyle w:val="Strong"/>
          <w:b/>
          <w:bCs/>
        </w:rPr>
        <w:t>dengan</w:t>
      </w:r>
      <w:proofErr w:type="spellEnd"/>
      <w:r w:rsidRPr="00481D99">
        <w:rPr>
          <w:rStyle w:val="Strong"/>
          <w:b/>
          <w:bCs/>
        </w:rPr>
        <w:t xml:space="preserve"> </w:t>
      </w:r>
      <w:proofErr w:type="spellStart"/>
      <w:r w:rsidRPr="00481D99">
        <w:rPr>
          <w:rStyle w:val="Strong"/>
          <w:b/>
          <w:bCs/>
        </w:rPr>
        <w:t>Kekerasan</w:t>
      </w:r>
      <w:proofErr w:type="spellEnd"/>
      <w:r w:rsidRPr="00481D99">
        <w:rPr>
          <w:rStyle w:val="Strong"/>
          <w:b/>
          <w:bCs/>
        </w:rPr>
        <w:t xml:space="preserve"> yang </w:t>
      </w:r>
      <w:proofErr w:type="spellStart"/>
      <w:r w:rsidRPr="00481D99">
        <w:rPr>
          <w:rStyle w:val="Strong"/>
          <w:b/>
          <w:bCs/>
        </w:rPr>
        <w:t>Dilakukan</w:t>
      </w:r>
      <w:proofErr w:type="spellEnd"/>
      <w:r w:rsidRPr="00481D99">
        <w:rPr>
          <w:rStyle w:val="Strong"/>
          <w:b/>
          <w:bCs/>
        </w:rPr>
        <w:t xml:space="preserve"> </w:t>
      </w:r>
      <w:proofErr w:type="spellStart"/>
      <w:r w:rsidRPr="00481D99">
        <w:rPr>
          <w:rStyle w:val="Strong"/>
          <w:b/>
          <w:bCs/>
        </w:rPr>
        <w:t>Secara</w:t>
      </w:r>
      <w:proofErr w:type="spellEnd"/>
      <w:r w:rsidRPr="00481D99">
        <w:rPr>
          <w:rStyle w:val="Strong"/>
          <w:b/>
          <w:bCs/>
        </w:rPr>
        <w:t xml:space="preserve"> </w:t>
      </w:r>
      <w:proofErr w:type="spellStart"/>
      <w:r w:rsidRPr="00481D99">
        <w:rPr>
          <w:rStyle w:val="Strong"/>
          <w:b/>
          <w:bCs/>
        </w:rPr>
        <w:t>Bersama-Sama</w:t>
      </w:r>
      <w:proofErr w:type="spellEnd"/>
      <w:r w:rsidRPr="00481D99">
        <w:rPr>
          <w:rStyle w:val="Strong"/>
          <w:b/>
          <w:bCs/>
        </w:rPr>
        <w:t xml:space="preserve"> </w:t>
      </w:r>
      <w:proofErr w:type="spellStart"/>
      <w:r w:rsidRPr="00481D99">
        <w:rPr>
          <w:rStyle w:val="Strong"/>
          <w:b/>
          <w:bCs/>
        </w:rPr>
        <w:t>Berdasarkan</w:t>
      </w:r>
      <w:proofErr w:type="spellEnd"/>
      <w:r w:rsidRPr="00481D99">
        <w:rPr>
          <w:rStyle w:val="Strong"/>
          <w:b/>
          <w:bCs/>
        </w:rPr>
        <w:t xml:space="preserve"> </w:t>
      </w:r>
      <w:proofErr w:type="spellStart"/>
      <w:r w:rsidRPr="00481D99">
        <w:rPr>
          <w:rStyle w:val="Strong"/>
          <w:b/>
          <w:bCs/>
        </w:rPr>
        <w:t>Pasal</w:t>
      </w:r>
      <w:proofErr w:type="spellEnd"/>
      <w:r w:rsidRPr="00481D99">
        <w:rPr>
          <w:rStyle w:val="Strong"/>
          <w:b/>
          <w:bCs/>
        </w:rPr>
        <w:t xml:space="preserve"> 365 KUHP </w:t>
      </w:r>
      <w:proofErr w:type="spellStart"/>
      <w:r w:rsidRPr="00481D99">
        <w:rPr>
          <w:rStyle w:val="Strong"/>
          <w:b/>
          <w:bCs/>
        </w:rPr>
        <w:t>dalam</w:t>
      </w:r>
      <w:proofErr w:type="spellEnd"/>
      <w:r w:rsidRPr="00481D99">
        <w:rPr>
          <w:rStyle w:val="Strong"/>
          <w:b/>
          <w:bCs/>
        </w:rPr>
        <w:t xml:space="preserve"> </w:t>
      </w:r>
      <w:proofErr w:type="spellStart"/>
      <w:r w:rsidRPr="00481D99">
        <w:rPr>
          <w:rStyle w:val="Strong"/>
          <w:b/>
          <w:bCs/>
        </w:rPr>
        <w:t>Praktik</w:t>
      </w:r>
      <w:proofErr w:type="spellEnd"/>
      <w:r w:rsidRPr="00481D99">
        <w:rPr>
          <w:rStyle w:val="Strong"/>
          <w:b/>
          <w:bCs/>
        </w:rPr>
        <w:t xml:space="preserve"> </w:t>
      </w:r>
      <w:proofErr w:type="spellStart"/>
      <w:r w:rsidRPr="00481D99">
        <w:rPr>
          <w:rStyle w:val="Strong"/>
          <w:b/>
          <w:bCs/>
        </w:rPr>
        <w:t>Penyidikan</w:t>
      </w:r>
      <w:proofErr w:type="spellEnd"/>
      <w:r w:rsidRPr="00481D99">
        <w:rPr>
          <w:rStyle w:val="Strong"/>
          <w:b/>
          <w:bCs/>
        </w:rPr>
        <w:t xml:space="preserve"> yang </w:t>
      </w:r>
      <w:proofErr w:type="spellStart"/>
      <w:r w:rsidRPr="00481D99">
        <w:rPr>
          <w:rStyle w:val="Strong"/>
          <w:b/>
          <w:bCs/>
        </w:rPr>
        <w:t>Tercermin</w:t>
      </w:r>
      <w:proofErr w:type="spellEnd"/>
      <w:r w:rsidRPr="00481D99">
        <w:rPr>
          <w:rStyle w:val="Strong"/>
          <w:b/>
          <w:bCs/>
        </w:rPr>
        <w:t xml:space="preserve"> </w:t>
      </w:r>
      <w:proofErr w:type="spellStart"/>
      <w:r w:rsidRPr="00481D99">
        <w:rPr>
          <w:rStyle w:val="Strong"/>
          <w:b/>
          <w:bCs/>
        </w:rPr>
        <w:t>dalam</w:t>
      </w:r>
      <w:proofErr w:type="spellEnd"/>
      <w:r w:rsidRPr="00481D99">
        <w:rPr>
          <w:rStyle w:val="Strong"/>
          <w:b/>
          <w:bCs/>
        </w:rPr>
        <w:t xml:space="preserve"> BAP di </w:t>
      </w:r>
      <w:proofErr w:type="spellStart"/>
      <w:r w:rsidRPr="00481D99">
        <w:rPr>
          <w:rStyle w:val="Strong"/>
          <w:b/>
          <w:bCs/>
        </w:rPr>
        <w:t>Polsek</w:t>
      </w:r>
      <w:proofErr w:type="spellEnd"/>
      <w:r w:rsidRPr="00481D99">
        <w:rPr>
          <w:rStyle w:val="Strong"/>
          <w:b/>
          <w:bCs/>
        </w:rPr>
        <w:t xml:space="preserve"> </w:t>
      </w:r>
      <w:proofErr w:type="spellStart"/>
      <w:r w:rsidRPr="00481D99">
        <w:rPr>
          <w:rStyle w:val="Strong"/>
          <w:b/>
          <w:bCs/>
        </w:rPr>
        <w:t>Dolok</w:t>
      </w:r>
      <w:proofErr w:type="spellEnd"/>
      <w:r w:rsidRPr="00481D99">
        <w:rPr>
          <w:rStyle w:val="Strong"/>
          <w:b/>
          <w:bCs/>
        </w:rPr>
        <w:t xml:space="preserve"> </w:t>
      </w:r>
      <w:proofErr w:type="spellStart"/>
      <w:r w:rsidRPr="00481D99">
        <w:rPr>
          <w:rStyle w:val="Strong"/>
          <w:b/>
          <w:bCs/>
        </w:rPr>
        <w:t>Masihul</w:t>
      </w:r>
      <w:bookmarkEnd w:id="3"/>
      <w:proofErr w:type="spellEnd"/>
    </w:p>
    <w:p w14:paraId="0101BB35" w14:textId="77777777" w:rsidR="005E6F2C" w:rsidRDefault="009C57C4">
      <w:pPr>
        <w:spacing w:line="480" w:lineRule="auto"/>
        <w:ind w:firstLine="709"/>
        <w:jc w:val="both"/>
      </w:pPr>
      <w:r>
        <w:t>Tindak pidana pencurian dengan kekerasan merupakan salah satu bentuk kejahatan terhadap harta benda yang tidak hanya menyerang kepentingan kepemilikan korban, tetapi juga dapat mengancam keselamatan fisik maupun psikis korban. Dalam konteks penelitian ini, perkara yang ditangani di Polsek Dolok Masihul menunjukkan bahwa pencurian tidak berdiri sebagai perbuatan mengambil barang semata, melainkan disertai adanya kekerasan atau ancaman kekerasan yang dilakukan oleh para pelaku. Oleh karena itu, penerapan Pasal 365 KUHP menjadi penting untuk melihat sejauh mana unsur pencurian, kekerasan, dan keterlibatan bersama-sama dapat dibuktikan melalui Berita Acara Pemeriksaan.</w:t>
      </w:r>
      <w:r>
        <w:rPr>
          <w:rStyle w:val="FootnoteReference"/>
        </w:rPr>
        <w:footnoteReference w:id="1"/>
      </w:r>
      <w:r>
        <w:t xml:space="preserve"> </w:t>
      </w:r>
    </w:p>
    <w:p w14:paraId="3A778FFC" w14:textId="77777777" w:rsidR="005E6F2C" w:rsidRDefault="009C57C4">
      <w:pPr>
        <w:spacing w:line="480" w:lineRule="auto"/>
        <w:ind w:firstLine="709"/>
        <w:jc w:val="both"/>
      </w:pPr>
      <w:r>
        <w:t xml:space="preserve">Pasal 365 KUHP pada dasarnya mengatur pencurian yang didahului, disertai, atau diikuti dengan kekerasan maupun ancaman kekerasan terhadap orang. Kekerasan tersebut memiliki tujuan tertentu, yaitu mempersiapkan atau mempermudah pencurian, memungkinkan pelaku melarikan diri, atau mempertahankan barang hasil curian agar tetap berada dalam penguasaannya. </w:t>
      </w:r>
      <w:r>
        <w:lastRenderedPageBreak/>
        <w:t>Dengan demikian, unsur kekerasan dalam Pasal 365 KUHP tidak berdiri sendiri, tetapi memiliki hubungan langsung dengan perbuatan pencurian.</w:t>
      </w:r>
      <w:r>
        <w:rPr>
          <w:rStyle w:val="FootnoteReference"/>
        </w:rPr>
        <w:footnoteReference w:id="2"/>
      </w:r>
    </w:p>
    <w:p w14:paraId="17DB8513" w14:textId="77777777" w:rsidR="005E6F2C" w:rsidRDefault="009C57C4">
      <w:pPr>
        <w:spacing w:line="480" w:lineRule="auto"/>
        <w:ind w:firstLine="709"/>
        <w:jc w:val="both"/>
      </w:pPr>
      <w:r>
        <w:t>Dalam praktik penyidikan, penyidik tidak hanya melihat adanya barang yang hilang dari korban, tetapi juga menilai bagaimana cara barang tersebut berpindah dari penguasaan korban kepada pelaku. Apabila perpindahan barang terjadi melalui tekanan, kekerasan, ancaman, atau tindakan yang membuat korban tidak mampu mempertahankan barangnya, maka perkara tersebut dapat diarahkan sebagai pencurian dengan kekerasan. Hal ini membedakan Pasal 365 KUHP dari pencurian biasa sebagaimana diatur dalam Pasal 362 KUHP.</w:t>
      </w:r>
      <w:r>
        <w:rPr>
          <w:rStyle w:val="FootnoteReference"/>
        </w:rPr>
        <w:footnoteReference w:id="3"/>
      </w:r>
      <w:r>
        <w:t xml:space="preserve"> </w:t>
      </w:r>
    </w:p>
    <w:p w14:paraId="5B8CF6A1" w14:textId="77777777" w:rsidR="00C501DE" w:rsidRDefault="00D728E3">
      <w:pPr>
        <w:spacing w:line="480" w:lineRule="auto"/>
        <w:ind w:firstLine="709"/>
        <w:jc w:val="both"/>
      </w:pPr>
      <w:r>
        <w:t>Berdasarkan hasil wawancara dengan IPDA Ismail Har, S.H., selaku Penyidik/Kanit Reskrim Polsek Dolok Masihul, unsur mengambil barang sesuatu dinilai dari adanya perpindahan penguasaan barang milik korban tanpa hak. Dalam perkara yang tercermin dalam BAP, sepeda motor, handphone, dompet, dan uang tunai yang semula berada dalam penguasaan korban kemudian dikuasai atau dibawa oleh para pelaku setelah korban mengalami kekerasan. Penilaian penyidik tidak berhenti pada keterangan korban, tetapi dikaitkan dengan keterangan saksi, tersangka, dan barang bukti agar hubungan antara hilangnya barang dan tindakan para pelaku dapat dibuktikan.</w:t>
      </w:r>
      <w:r>
        <w:rPr>
          <w:rStyle w:val="FootnoteReference"/>
        </w:rPr>
        <w:footnoteReference w:id="4"/>
      </w:r>
    </w:p>
    <w:p w14:paraId="49DE5854" w14:textId="77777777" w:rsidR="00C501DE" w:rsidRDefault="00D728E3">
      <w:pPr>
        <w:spacing w:line="480" w:lineRule="auto"/>
        <w:ind w:firstLine="709"/>
        <w:jc w:val="both"/>
      </w:pPr>
      <w:r>
        <w:t xml:space="preserve">IPDA Ismail Har, S.H. menjelaskan bahwa unsur kekerasan harus dibuktikan melalui rangkaian fakta yang menunjukkan adanya tindakan fisik terhadap korban. BAP memuat keterangan mengenai korban yang ditarik atau dijatuhkan serta dipukul pada beberapa bagian tubuh, dan keadaan tersebut </w:t>
      </w:r>
      <w:r>
        <w:lastRenderedPageBreak/>
        <w:t>dikaitkan dengan tindakan para pelaku dalam menguasai barang korban. Menurut penyidik, hubungan waktu dan tujuan antara kekerasan dengan pengambilan barang menjadi bagian penting untuk membedakan pencurian dengan kekerasan dari tindak pidana lain yang berdiri sendiri.</w:t>
      </w:r>
      <w:r>
        <w:rPr>
          <w:rStyle w:val="FootnoteReference"/>
        </w:rPr>
        <w:footnoteReference w:id="5"/>
      </w:r>
    </w:p>
    <w:p w14:paraId="71EF602F" w14:textId="77777777" w:rsidR="00C501DE" w:rsidRDefault="00D728E3">
      <w:pPr>
        <w:spacing w:line="480" w:lineRule="auto"/>
        <w:ind w:firstLine="709"/>
        <w:jc w:val="both"/>
      </w:pPr>
      <w:r>
        <w:t>Dalam hasil wawancara, IPDA Ismail Har, S.H. menerangkan bahwa maksud memiliki secara melawan hukum dapat dinilai dari tindakan para pelaku terhadap barang setelah barang tersebut keluar dari penguasaan korban. Barang tidak hanya dipindahkan sesaat, tetapi dibawa, dikuasai, dan pada bagian tertentu dialihkan kepada pihak lain tanpa persetujuan korban. Rangkaian tindakan tersebut menjadi petunjuk bahwa para pelaku memperlakukan barang korban seolah berada dalam kekuasaan mereka, padahal tidak terdapat hak untuk menguasainya.</w:t>
      </w:r>
      <w:r>
        <w:rPr>
          <w:rStyle w:val="FootnoteReference"/>
        </w:rPr>
        <w:footnoteReference w:id="6"/>
      </w:r>
    </w:p>
    <w:p w14:paraId="0749EAD5" w14:textId="77777777" w:rsidR="00C501DE" w:rsidRDefault="00D728E3">
      <w:pPr>
        <w:spacing w:line="480" w:lineRule="auto"/>
        <w:ind w:firstLine="709"/>
        <w:jc w:val="both"/>
      </w:pPr>
      <w:r>
        <w:t>Menurut IPDA Ismail Har, S.H., unsur dilakukan secara bersama-sama dibuktikan dengan menguraikan kontribusi setiap orang dalam satu rangkaian kejadian. Penyidik menilai siapa yang terlibat dalam pengejaran atau pemepetan, siapa yang melakukan kekerasan, siapa yang mengambil atau menguasai barang, dan siapa yang membantu pemindahan barang setelah peristiwa. Keterlibatan Martin Harahap, Toni Leonardo Sitorus, Febrin Siahaan, dan Teguh Firmansyah karena itu harus dinilai dari persesuaian perbuatan masing-masing, bukan hanya dari keberadaan mereka di tempat kejadian.</w:t>
      </w:r>
      <w:r>
        <w:rPr>
          <w:rStyle w:val="FootnoteReference"/>
        </w:rPr>
        <w:footnoteReference w:id="7"/>
      </w:r>
    </w:p>
    <w:p w14:paraId="39C29551" w14:textId="77777777" w:rsidR="00C501DE" w:rsidRDefault="00D728E3">
      <w:pPr>
        <w:spacing w:line="480" w:lineRule="auto"/>
        <w:ind w:firstLine="709"/>
        <w:jc w:val="both"/>
      </w:pPr>
      <w:r>
        <w:lastRenderedPageBreak/>
        <w:t>IPDA Ismail Har, S.H. menyampaikan bahwa kendala pembuktian dapat muncul ketika keterangan korban, saksi, dan para tersangka tidak sepenuhnya sama atau ketika tersangka berusaha memperkecil perannya. Dalam keadaan demikian, penyidik menyusun kronologi secara rinci, membandingkan bagian keterangan yang bersesuaian, dan menghubungkannya dengan barang bukti serta dokumen pendukung. Cara tersebut diperlukan agar penerapan Pasal 365 KUHP bertumpu pada rangkaian fakta yang saling menguatkan, bukan pada satu keterangan yang berdiri sendiri.</w:t>
      </w:r>
      <w:r>
        <w:rPr>
          <w:rStyle w:val="FootnoteReference"/>
        </w:rPr>
        <w:footnoteReference w:id="8"/>
      </w:r>
    </w:p>
    <w:p w14:paraId="78E71725" w14:textId="77777777" w:rsidR="005E6F2C" w:rsidRDefault="009C57C4">
      <w:pPr>
        <w:spacing w:line="480" w:lineRule="auto"/>
        <w:ind w:firstLine="709"/>
        <w:jc w:val="both"/>
      </w:pPr>
      <w:r>
        <w:t>Berdasarkan hasil wawancara dengan penyidik pada tanggal 2 Juni 2026, diperoleh penjelasan bahwa penyidik terlebih dahulu mencermati laporan polisi, keterangan korban, keterangan saksi, dan keterangan para tersangka untuk melihat apakah perbuatan yang dilaporkan benar mengandung unsur pencurian dengan kekerasan. Penyidik tidak langsung menyimpulkan penerapan Pasal 365 KUHP, melainkan melakukan pemeriksaan secara bertahap terhadap kronologi kejadian, barang yang diambil, cara pelaku melakukan perbuatan, serta hubungan antara kekerasan dan pengambilan barang.</w:t>
      </w:r>
      <w:r>
        <w:rPr>
          <w:rStyle w:val="FootnoteReference"/>
        </w:rPr>
        <w:footnoteReference w:id="9"/>
      </w:r>
    </w:p>
    <w:p w14:paraId="546FD4A9" w14:textId="77777777" w:rsidR="005E6F2C" w:rsidRDefault="009C57C4">
      <w:pPr>
        <w:spacing w:line="480" w:lineRule="auto"/>
        <w:ind w:firstLine="709"/>
        <w:jc w:val="both"/>
      </w:pPr>
      <w:r>
        <w:t xml:space="preserve">Unsur pertama yang perlu dibuktikan dalam tindak pidana pencurian dengan kekerasan adalah adanya perbuatan mengambil barang sesuatu. Unsur ini menjadi dasar karena Pasal 365 KUHP tetap berakar dari delik pencurian. Artinya, sebelum membuktikan kekerasan, penyidik harus terlebih dahulu </w:t>
      </w:r>
      <w:r>
        <w:lastRenderedPageBreak/>
        <w:t>memastikan bahwa terdapat barang milik korban yang telah diambil oleh pelaku tanpa hak.</w:t>
      </w:r>
      <w:r>
        <w:rPr>
          <w:rStyle w:val="FootnoteReference"/>
        </w:rPr>
        <w:footnoteReference w:id="10"/>
      </w:r>
      <w:r>
        <w:t xml:space="preserve"> </w:t>
      </w:r>
    </w:p>
    <w:p w14:paraId="613E38BA" w14:textId="77777777" w:rsidR="005E6F2C" w:rsidRDefault="009C57C4">
      <w:pPr>
        <w:spacing w:line="480" w:lineRule="auto"/>
        <w:ind w:firstLine="709"/>
        <w:jc w:val="both"/>
      </w:pPr>
      <w:r>
        <w:t>Dalam BAP, unsur mengambil barang biasanya dibuktikan melalui keterangan korban mengenai barang yang hilang, keterangan saksi yang mengetahui kejadian, serta keterangan tersangka mengenai barang yang dikuasai setelah kejadian. Penyidik juga dapat memperkuat unsur ini dengan barang bukti, seperti kendaraan, telepon genggam, uang, atau benda lain yang menjadi objek pencurian. Dengan demikian, barang bukti memiliki peran penting untuk menghubungkan keterangan para pihak dengan fakta hukum yang dibutuhkan.</w:t>
      </w:r>
      <w:r>
        <w:rPr>
          <w:rStyle w:val="FootnoteReference"/>
        </w:rPr>
        <w:footnoteReference w:id="11"/>
      </w:r>
    </w:p>
    <w:p w14:paraId="2B130F8A" w14:textId="77777777" w:rsidR="005E6F2C" w:rsidRDefault="009C57C4">
      <w:pPr>
        <w:spacing w:line="480" w:lineRule="auto"/>
        <w:ind w:firstLine="709"/>
        <w:jc w:val="both"/>
      </w:pPr>
      <w:r>
        <w:t>Unsur “barang sesuatu” dalam pencurian tidak selalu terbatas pada benda bernilai besar, tetapi mencakup setiap benda yang mempunyai nilai ekonomis dan dapat dimiliki oleh seseorang. Oleh sebab itu, dalam perkara pencurian dengan kekerasan, nilai barang bukan satu-satunya ukuran penting. Hal yang lebih utama adalah adanya pengambilan barang milik orang lain secara melawan hukum yang disertai dengan kekerasan atau ancaman kekerasan.</w:t>
      </w:r>
      <w:r>
        <w:rPr>
          <w:rStyle w:val="FootnoteReference"/>
        </w:rPr>
        <w:footnoteReference w:id="12"/>
      </w:r>
      <w:r>
        <w:t xml:space="preserve"> </w:t>
      </w:r>
    </w:p>
    <w:p w14:paraId="1547DE0D" w14:textId="77777777" w:rsidR="005E6F2C" w:rsidRDefault="009C57C4">
      <w:pPr>
        <w:spacing w:line="480" w:lineRule="auto"/>
        <w:ind w:firstLine="709"/>
        <w:jc w:val="both"/>
      </w:pPr>
      <w:r>
        <w:t xml:space="preserve">Unsur berikutnya adalah bahwa barang tersebut harus merupakan milik orang lain, baik seluruhnya maupun sebagian. Dalam penyidikan, hal ini biasanya dibuktikan melalui pengakuan korban, bukti kepemilikan, saksi yang mengetahui barang tersebut, atau keadaan faktual bahwa barang berada dalam penguasaan korban sebelum kejadian. Apabila barang tersebut memang berada dalam </w:t>
      </w:r>
      <w:r>
        <w:lastRenderedPageBreak/>
        <w:t>kekuasaan sah korban, maka pengambilan oleh pelaku tanpa izin dapat dinilai memenuhi unsur milik orang lain.</w:t>
      </w:r>
      <w:r>
        <w:rPr>
          <w:rStyle w:val="FootnoteReference"/>
        </w:rPr>
        <w:footnoteReference w:id="13"/>
      </w:r>
      <w:r>
        <w:t xml:space="preserve"> </w:t>
      </w:r>
    </w:p>
    <w:p w14:paraId="011E660E" w14:textId="77777777" w:rsidR="005E6F2C" w:rsidRDefault="009C57C4">
      <w:pPr>
        <w:spacing w:line="480" w:lineRule="auto"/>
        <w:ind w:firstLine="709"/>
        <w:jc w:val="both"/>
      </w:pPr>
      <w:r>
        <w:t>Berdasarkan hasil wawancara tanggal 2 Juni 2026, penyidik menjelaskan bahwa pembuktian kepemilikan barang tidak selalu harus didasarkan pada dokumen formal, sebab dalam praktik banyak barang milik korban tidak disertai bukti tertulis. Oleh karena itu, penyidik juga menggunakan keterangan korban dan saksi untuk menguatkan bahwa barang tersebut memang berada dalam penguasaan korban sebelum peristiwa pidana terjadi.</w:t>
      </w:r>
      <w:r>
        <w:rPr>
          <w:rStyle w:val="FootnoteReference"/>
        </w:rPr>
        <w:footnoteReference w:id="14"/>
      </w:r>
    </w:p>
    <w:p w14:paraId="063DC596" w14:textId="77777777" w:rsidR="005E6F2C" w:rsidRDefault="009C57C4">
      <w:pPr>
        <w:spacing w:line="480" w:lineRule="auto"/>
        <w:ind w:firstLine="709"/>
        <w:jc w:val="both"/>
      </w:pPr>
      <w:r>
        <w:t>Unsur “dengan maksud untuk memiliki secara melawan hukum” merupakan unsur subjektif yang berkaitan dengan niat pelaku. Dalam penyidikan, unsur ini tidak dapat dilihat secara langsung, tetapi disimpulkan dari perbuatan nyata pelaku. Misalnya, pelaku membawa barang korban, menyembunyikan barang, menjual barang, atau membagi hasil pencurian kepada pelaku lain. Perbuatan-perbuatan tersebut dapat menunjukkan bahwa pelaku memang bermaksud menguasai barang secara tidak sah.</w:t>
      </w:r>
      <w:r>
        <w:rPr>
          <w:rStyle w:val="FootnoteReference"/>
        </w:rPr>
        <w:footnoteReference w:id="15"/>
      </w:r>
    </w:p>
    <w:p w14:paraId="0AD1BC33" w14:textId="77777777" w:rsidR="005E6F2C" w:rsidRDefault="009C57C4">
      <w:pPr>
        <w:spacing w:line="480" w:lineRule="auto"/>
        <w:ind w:firstLine="709"/>
        <w:jc w:val="both"/>
      </w:pPr>
      <w:r>
        <w:t xml:space="preserve">Niat untuk memiliki secara melawan hukum juga dapat dilihat dari tidak adanya izin dari korban dan tidak adanya dasar hukum yang membenarkan pelaku mengambil barang tersebut. Dalam konteks Pasal 365 KUHP, niat melawan hukum menjadi semakin jelas apabila pengambilan barang dilakukan dengan kekerasan. Hal ini menunjukkan bahwa pelaku sadar barang tersebut bukan </w:t>
      </w:r>
      <w:r>
        <w:lastRenderedPageBreak/>
        <w:t>miliknya, tetapi tetap berusaha menguasainya dengan cara memaksa atau menyerang korban.</w:t>
      </w:r>
      <w:r>
        <w:rPr>
          <w:rStyle w:val="FootnoteReference"/>
        </w:rPr>
        <w:footnoteReference w:id="16"/>
      </w:r>
    </w:p>
    <w:p w14:paraId="2B2DB20D" w14:textId="77777777" w:rsidR="005E6F2C" w:rsidRDefault="009C57C4">
      <w:pPr>
        <w:spacing w:line="480" w:lineRule="auto"/>
        <w:ind w:firstLine="709"/>
        <w:jc w:val="both"/>
      </w:pPr>
      <w:r>
        <w:t>Unsur kekerasan atau ancaman kekerasan menjadi ciri khusus dari Pasal 365 KUHP. Kekerasan dalam perkara ini dapat berupa tindakan fisik seperti memukul, mendorong, menendang, menodong, menarik paksa, atau perbuatan lain yang menimbulkan rasa takut dan tidak berdaya pada korban. Sementara itu, ancaman kekerasan dapat berupa ucapan, gerakan, atau tindakan yang membuat korban merasa keselamatannya terancam.</w:t>
      </w:r>
      <w:r>
        <w:rPr>
          <w:rStyle w:val="FootnoteReference"/>
        </w:rPr>
        <w:footnoteReference w:id="17"/>
      </w:r>
      <w:r>
        <w:t xml:space="preserve"> </w:t>
      </w:r>
    </w:p>
    <w:p w14:paraId="131455CD" w14:textId="77777777" w:rsidR="005E6F2C" w:rsidRDefault="009C57C4">
      <w:pPr>
        <w:spacing w:line="480" w:lineRule="auto"/>
        <w:ind w:firstLine="709"/>
        <w:jc w:val="both"/>
      </w:pPr>
      <w:r>
        <w:t>Dalam praktik penyidikan, pembuktian kekerasan tidak hanya didasarkan pada pengakuan korban. Penyidik juga perlu melihat apakah terdapat saksi yang mengetahui kejadian, luka pada tubuh korban, visum et repertum, atau barang bukti yang digunakan dalam melakukan kekerasan. Semakin banyak alat bukti yang saling mendukung, maka semakin kuat dasar penyidik untuk menerapkan Pasal 365 KUHP.</w:t>
      </w:r>
      <w:r>
        <w:rPr>
          <w:rStyle w:val="FootnoteReference"/>
        </w:rPr>
        <w:footnoteReference w:id="18"/>
      </w:r>
    </w:p>
    <w:p w14:paraId="0E2C648E" w14:textId="77777777" w:rsidR="005E6F2C" w:rsidRDefault="009C57C4">
      <w:pPr>
        <w:spacing w:line="480" w:lineRule="auto"/>
        <w:ind w:firstLine="709"/>
        <w:jc w:val="both"/>
      </w:pPr>
      <w:r>
        <w:t>Berdasarkan hasil wawancara dengan penyidik pada tanggal 2 Juni 2026, dijelaskan bahwa salah satu pertimbangan penting dalam menerapkan Pasal 365 KUHP adalah adanya hubungan antara kekerasan dengan pencurian. Penyidik menilai bahwa kekerasan harus berfungsi untuk mempermudah pelaku mengambil barang, melarikan diri, atau mempertahankan barang yang telah dicuri. Jika kekerasan terjadi secara terpisah dan tidak berkaitan dengan pengambilan barang, maka penyidik perlu menilai kembali konstruksi pasal yang digunakan.</w:t>
      </w:r>
      <w:r>
        <w:rPr>
          <w:rStyle w:val="FootnoteReference"/>
        </w:rPr>
        <w:footnoteReference w:id="19"/>
      </w:r>
      <w:r>
        <w:t xml:space="preserve"> </w:t>
      </w:r>
    </w:p>
    <w:p w14:paraId="581A4F36" w14:textId="77777777" w:rsidR="005E6F2C" w:rsidRDefault="009C57C4">
      <w:pPr>
        <w:spacing w:line="480" w:lineRule="auto"/>
        <w:ind w:firstLine="709"/>
        <w:jc w:val="both"/>
      </w:pPr>
      <w:r>
        <w:lastRenderedPageBreak/>
        <w:t>Unsur kekerasan dalam Pasal 365 KUHP dapat terjadi sebelum, pada saat, atau setelah pencurian dilakukan. Kekerasan yang dilakukan sebelum pencurian biasanya bertujuan mempersiapkan atau mempermudah perbuatan, sedangkan kekerasan pada saat pencurian bertujuan menguasai barang dari korban. Adapun kekerasan setelah pencurian biasanya dilakukan agar pelaku dapat melarikan diri atau tetap menguasai barang hasil pencurian.</w:t>
      </w:r>
      <w:r>
        <w:rPr>
          <w:rStyle w:val="FootnoteReference"/>
        </w:rPr>
        <w:footnoteReference w:id="20"/>
      </w:r>
    </w:p>
    <w:p w14:paraId="045DAA3B" w14:textId="77777777" w:rsidR="005E6F2C" w:rsidRDefault="009C57C4">
      <w:pPr>
        <w:spacing w:line="480" w:lineRule="auto"/>
        <w:ind w:firstLine="709"/>
        <w:jc w:val="both"/>
      </w:pPr>
      <w:r>
        <w:t>Dalam perkara yang diteliti, penerapan unsur kekerasan perlu dilihat dari kronologi yang tercantum dalam BAP. Apabila dari keterangan korban dan saksi diketahui bahwa pelaku melakukan tekanan fisik atau ancaman terhadap korban sebelum barang diambil, maka unsur kekerasan dapat dikatakan melekat pada perbuatan pencurian. Dengan demikian, kekerasan bukan sekadar akibat sampingan, melainkan bagian dari cara pelaku melakukan tindak pidana.</w:t>
      </w:r>
      <w:r>
        <w:rPr>
          <w:rStyle w:val="FootnoteReference"/>
        </w:rPr>
        <w:footnoteReference w:id="21"/>
      </w:r>
    </w:p>
    <w:p w14:paraId="18584438" w14:textId="77777777" w:rsidR="005E6F2C" w:rsidRDefault="009C57C4">
      <w:pPr>
        <w:spacing w:line="480" w:lineRule="auto"/>
        <w:ind w:firstLine="709"/>
        <w:jc w:val="both"/>
      </w:pPr>
      <w:r>
        <w:t>Selain unsur pencurian dan kekerasan, penelitian ini juga menitikberatkan pada unsur dilakukan secara bersama-sama. Istilah bersama-sama menunjukkan bahwa tindak pidana tersebut tidak dilakukan oleh satu orang saja, melainkan melibatkan lebih dari satu pelaku dengan peran tertentu. Dalam hukum pidana, keterlibatan beberapa orang dalam satu tindak pidana dapat dianalisis melalui ajaran penyertaan.</w:t>
      </w:r>
      <w:r>
        <w:rPr>
          <w:rStyle w:val="FootnoteReference"/>
        </w:rPr>
        <w:footnoteReference w:id="22"/>
      </w:r>
    </w:p>
    <w:p w14:paraId="0D3DE752" w14:textId="77777777" w:rsidR="005E6F2C" w:rsidRDefault="009C57C4">
      <w:pPr>
        <w:spacing w:line="480" w:lineRule="auto"/>
        <w:ind w:firstLine="709"/>
        <w:jc w:val="both"/>
      </w:pPr>
      <w:r>
        <w:t xml:space="preserve">Penyertaan dalam tindak pidana penting untuk menentukan apakah setiap pelaku dapat dimintai pertanggungjawaban pidana atas perbuatan yang terjadi. Tidak semua orang yang berada di tempat kejadian otomatis dapat disebut sebagai pelaku. Penyidik harus membuktikan adanya hubungan perbuatan, kesengajaan, </w:t>
      </w:r>
      <w:r>
        <w:lastRenderedPageBreak/>
        <w:t>dan kontribusi masing-masing orang terhadap terjadinya tindak pidana pencurian dengan kekerasan.</w:t>
      </w:r>
      <w:r>
        <w:rPr>
          <w:rStyle w:val="FootnoteReference"/>
        </w:rPr>
        <w:footnoteReference w:id="23"/>
      </w:r>
    </w:p>
    <w:p w14:paraId="1ADFF980" w14:textId="77777777" w:rsidR="005E6F2C" w:rsidRDefault="009C57C4">
      <w:pPr>
        <w:spacing w:line="480" w:lineRule="auto"/>
        <w:ind w:firstLine="709"/>
        <w:jc w:val="both"/>
      </w:pPr>
      <w:r>
        <w:t>Berdasarkan hasil wawancara tanggal 2 Juni 2026, penyidik menjelaskan bahwa dalam perkara yang dilakukan secara bersama-sama, pemeriksaan diarahkan untuk mengetahui peran masing-masing pelaku. Ada pelaku yang berperan mengambil barang, ada yang melakukan kekerasan, ada yang mengawasi keadaan sekitar, dan ada pula yang membantu pelaku lain melarikan diri. Peran-peran tersebut kemudian dituangkan dalam BAP agar konstruksi perkara menjadi jelas.</w:t>
      </w:r>
      <w:r>
        <w:rPr>
          <w:rStyle w:val="FootnoteReference"/>
        </w:rPr>
        <w:footnoteReference w:id="24"/>
      </w:r>
    </w:p>
    <w:p w14:paraId="1D736CA2" w14:textId="77777777" w:rsidR="005E6F2C" w:rsidRDefault="009C57C4">
      <w:pPr>
        <w:spacing w:line="480" w:lineRule="auto"/>
        <w:ind w:firstLine="709"/>
        <w:jc w:val="both"/>
      </w:pPr>
      <w:r>
        <w:t>Penerapan Pasal 365 KUHP terhadap perbuatan bersama-sama harus didasarkan pada fakta bahwa para pelaku memiliki keterkaitan dalam satu rangkaian peristiwa pidana. Keterkaitan tersebut dapat terlihat dari adanya kesepakatan sebelum kejadian, pembagian peran saat kejadian, atau tindakan bersama setelah kejadian. Apabila hubungan tersebut dapat dibuktikan, maka masing-masing pelaku dapat dipandang turut serta dalam tindak pidana yang sama.</w:t>
      </w:r>
      <w:r>
        <w:rPr>
          <w:rStyle w:val="FootnoteReference"/>
        </w:rPr>
        <w:footnoteReference w:id="25"/>
      </w:r>
    </w:p>
    <w:p w14:paraId="701B411D" w14:textId="77777777" w:rsidR="005E6F2C" w:rsidRDefault="009C57C4">
      <w:pPr>
        <w:spacing w:line="480" w:lineRule="auto"/>
        <w:ind w:firstLine="709"/>
        <w:jc w:val="both"/>
      </w:pPr>
      <w:r>
        <w:t xml:space="preserve">Dalam proses penyidikan, BAP memiliki kedudukan penting karena menjadi dokumen resmi yang mencatat keterangan saksi, korban, dan tersangka. BAP bukan sekadar catatan administratif, tetapi menjadi dasar bagi penyidik untuk menyusun konstruksi hukum suatu perkara. Oleh karena itu, kualitas BAP </w:t>
      </w:r>
      <w:r>
        <w:lastRenderedPageBreak/>
        <w:t>sangat menentukan apakah unsur-unsur Pasal 365 KUHP dapat tergambar secara jelas atau tidak.</w:t>
      </w:r>
      <w:r>
        <w:rPr>
          <w:rStyle w:val="FootnoteReference"/>
        </w:rPr>
        <w:footnoteReference w:id="26"/>
      </w:r>
    </w:p>
    <w:p w14:paraId="609DF390" w14:textId="77777777" w:rsidR="005E6F2C" w:rsidRDefault="009C57C4">
      <w:pPr>
        <w:spacing w:line="480" w:lineRule="auto"/>
        <w:ind w:firstLine="709"/>
        <w:jc w:val="both"/>
      </w:pPr>
      <w:r>
        <w:t>Penyidik harus menyusun pertanyaan pemeriksaan secara terarah agar setiap unsur tindak pidana dapat tergali. Misalnya, untuk membuktikan unsur pengambilan barang, penyidik bertanya mengenai barang apa yang diambil, siapa pemiliknya, kapan barang diambil, dan bagaimana cara barang tersebut diambil. Untuk membuktikan kekerasan, penyidik bertanya mengenai tindakan pelaku terhadap korban dan akibat yang dialami korban.</w:t>
      </w:r>
      <w:r>
        <w:rPr>
          <w:rStyle w:val="FootnoteReference"/>
        </w:rPr>
        <w:footnoteReference w:id="27"/>
      </w:r>
    </w:p>
    <w:p w14:paraId="2695C93C" w14:textId="77777777" w:rsidR="005E6F2C" w:rsidRDefault="009C57C4">
      <w:pPr>
        <w:spacing w:line="480" w:lineRule="auto"/>
        <w:ind w:firstLine="709"/>
        <w:jc w:val="both"/>
      </w:pPr>
      <w:r>
        <w:t>Dalam wawancara tanggal 2 Juni 2026, penyidik menyampaikan bahwa pemeriksaan terhadap korban menjadi salah satu bagian utama dalam mengungkap unsur Pasal 365 KUHP. Korban biasanya memberikan keterangan mengenai kronologi kejadian, jumlah pelaku, bentuk kekerasan, barang yang diambil, serta kondisi korban setelah kejadian. Keterangan korban kemudian dibandingkan dengan keterangan saksi dan tersangka untuk melihat kesesuaiannya.</w:t>
      </w:r>
      <w:r>
        <w:rPr>
          <w:rStyle w:val="FootnoteReference"/>
        </w:rPr>
        <w:footnoteReference w:id="28"/>
      </w:r>
    </w:p>
    <w:p w14:paraId="5B55C82E" w14:textId="77777777" w:rsidR="005E6F2C" w:rsidRDefault="009C57C4">
      <w:pPr>
        <w:spacing w:line="480" w:lineRule="auto"/>
        <w:ind w:firstLine="709"/>
        <w:jc w:val="both"/>
      </w:pPr>
      <w:r>
        <w:t xml:space="preserve">Keterangan saksi juga sangat penting karena dapat memperkuat atau menguji keterangan korban. Saksi yang melihat, mendengar, atau mengalami sendiri suatu peristiwa pidana dapat memberikan gambaran objektif mengenai kejadian. Dalam perkara pencurian dengan kekerasan, saksi dapat membantu </w:t>
      </w:r>
      <w:r>
        <w:lastRenderedPageBreak/>
        <w:t>menjelaskan jumlah pelaku, cara pelaku melakukan kekerasan, arah pelarian pelaku, maupun barang yang dibawa setelah kejadian.</w:t>
      </w:r>
      <w:r>
        <w:rPr>
          <w:rStyle w:val="FootnoteReference"/>
        </w:rPr>
        <w:footnoteReference w:id="29"/>
      </w:r>
    </w:p>
    <w:p w14:paraId="04ED6E32" w14:textId="77777777" w:rsidR="005E6F2C" w:rsidRDefault="009C57C4">
      <w:pPr>
        <w:spacing w:line="480" w:lineRule="auto"/>
        <w:ind w:firstLine="709"/>
        <w:jc w:val="both"/>
      </w:pPr>
      <w:r>
        <w:t>Selain keterangan korban dan saksi, keterangan tersangka juga menjadi bagian penting dalam penyidikan. Namun, keterangan tersangka harus dinilai secara hati-hati karena tersangka dapat saja menyangkal atau mengurangi perannya. Oleh karena itu, penyidik tidak boleh hanya bergantung pada pengakuan tersangka, melainkan harus menghubungkannya dengan alat bukti lain yang sah.</w:t>
      </w:r>
      <w:r>
        <w:rPr>
          <w:rStyle w:val="FootnoteReference"/>
        </w:rPr>
        <w:footnoteReference w:id="30"/>
      </w:r>
    </w:p>
    <w:p w14:paraId="23A933B5" w14:textId="77777777" w:rsidR="005E6F2C" w:rsidRDefault="009C57C4">
      <w:pPr>
        <w:spacing w:line="480" w:lineRule="auto"/>
        <w:ind w:firstLine="709"/>
        <w:jc w:val="both"/>
      </w:pPr>
      <w:r>
        <w:t>Dalam praktiknya, alat bukti yang digunakan dalam perkara pencurian dengan kekerasan dapat berupa keterangan saksi, keterangan ahli, surat, petunjuk, dan keterangan terdakwa pada tahap persidangan. Pada tahap penyidikan, penyidik berupaya mengumpulkan bahan pembuktian yang nantinya dapat mendukung proses penuntutan dan pemeriksaan di pengadilan. Dengan demikian, penyidikan berfungsi sebagai tahap awal untuk membangun dasar pembuktian perkara pidana.</w:t>
      </w:r>
      <w:r>
        <w:rPr>
          <w:rStyle w:val="FootnoteReference"/>
        </w:rPr>
        <w:footnoteReference w:id="31"/>
      </w:r>
    </w:p>
    <w:p w14:paraId="2D315B6E" w14:textId="77777777" w:rsidR="005E6F2C" w:rsidRDefault="009C57C4">
      <w:pPr>
        <w:spacing w:line="480" w:lineRule="auto"/>
        <w:ind w:firstLine="709"/>
        <w:jc w:val="both"/>
      </w:pPr>
      <w:r>
        <w:t>Penerapan Pasal 365 KUHP juga harus memperhatikan keadaan yang memberatkan. Apabila pencurian dengan kekerasan dilakukan oleh dua orang atau lebih dengan bersekutu, maka ancaman pidananya dapat menjadi lebih berat. Keadaan ini menunjukkan bahwa tindak pidana yang dilakukan secara bersama-sama dipandang lebih berbahaya karena pelaku memiliki kekuatan lebih besar untuk menekan korban dan mempermudah keberhasilan kejahatan.</w:t>
      </w:r>
      <w:r>
        <w:rPr>
          <w:rStyle w:val="FootnoteReference"/>
        </w:rPr>
        <w:footnoteReference w:id="32"/>
      </w:r>
    </w:p>
    <w:p w14:paraId="598D5909" w14:textId="77777777" w:rsidR="005E6F2C" w:rsidRDefault="009C57C4">
      <w:pPr>
        <w:spacing w:line="480" w:lineRule="auto"/>
        <w:ind w:firstLine="709"/>
        <w:jc w:val="both"/>
      </w:pPr>
      <w:r>
        <w:lastRenderedPageBreak/>
        <w:t>Dalam perkara di Polsek Dolok Masihul, unsur bersama-sama menjadi bagian penting karena judul penelitian menekankan pencurian dengan kekerasan yang dilakukan secara bersama-sama. Oleh sebab itu, penyidik perlu membuktikan bahwa para pelaku tidak bertindak sendiri-sendiri secara terpisah, tetapi berada dalam satu rangkaian perbuatan yang saling mendukung. Pembuktian ini dapat dilihat melalui keterangan mengenai siapa yang memulai perbuatan, siapa yang melakukan kekerasan, dan siapa yang mengambil barang.</w:t>
      </w:r>
      <w:r>
        <w:rPr>
          <w:rStyle w:val="FootnoteReference"/>
        </w:rPr>
        <w:footnoteReference w:id="33"/>
      </w:r>
      <w:r>
        <w:t xml:space="preserve"> </w:t>
      </w:r>
    </w:p>
    <w:p w14:paraId="1E9D9273" w14:textId="77777777" w:rsidR="005E6F2C" w:rsidRDefault="009C57C4">
      <w:pPr>
        <w:spacing w:line="480" w:lineRule="auto"/>
        <w:ind w:firstLine="709"/>
        <w:jc w:val="both"/>
      </w:pPr>
      <w:r>
        <w:t>Berdasarkan hasil wawancara tanggal 2 Juni 2026, penyidik menerangkan bahwa kendala dalam perkara seperti ini biasanya muncul ketika para pelaku memberikan keterangan yang berbeda-beda. Ada pelaku yang mengakui perbuatannya, tetapi ada pula yang berusaha menutupi peran pelaku lain. Untuk mengatasi hal tersebut, penyidik melakukan konfrontasi keterangan dan membandingkan setiap keterangan dengan alat bukti yang telah dikumpulkan.</w:t>
      </w:r>
      <w:r>
        <w:rPr>
          <w:rStyle w:val="FootnoteReference"/>
        </w:rPr>
        <w:footnoteReference w:id="34"/>
      </w:r>
    </w:p>
    <w:p w14:paraId="1E081A00" w14:textId="77777777" w:rsidR="005E6F2C" w:rsidRDefault="009C57C4">
      <w:pPr>
        <w:spacing w:line="480" w:lineRule="auto"/>
        <w:ind w:firstLine="709"/>
        <w:jc w:val="both"/>
      </w:pPr>
      <w:r>
        <w:t>Penerapan unsur Pasal 365 KUHP dalam BAP harus dilakukan secara sistematis. Setiap unsur tidak boleh hanya disebutkan secara umum, tetapi harus didukung oleh uraian fakta yang konkret. Misalnya, unsur kekerasan harus dijelaskan dalam bentuk tindakan nyata, bukan hanya disebut bahwa pelaku “melakukan kekerasan”. Dengan cara demikian, BAP dapat menunjukkan hubungan yang jelas antara fakta peristiwa dan unsur hukum.</w:t>
      </w:r>
      <w:r>
        <w:rPr>
          <w:rStyle w:val="FootnoteReference"/>
        </w:rPr>
        <w:footnoteReference w:id="35"/>
      </w:r>
      <w:r>
        <w:t xml:space="preserve"> </w:t>
      </w:r>
    </w:p>
    <w:p w14:paraId="37DA2BC5" w14:textId="77777777" w:rsidR="005E6F2C" w:rsidRDefault="009C57C4">
      <w:pPr>
        <w:spacing w:line="480" w:lineRule="auto"/>
        <w:ind w:firstLine="709"/>
        <w:jc w:val="both"/>
      </w:pPr>
      <w:r>
        <w:t xml:space="preserve">Jika dikaitkan dengan teori pembuktian, penyidik harus bekerja dengan prinsip bahwa suatu perkara pidana tidak cukup hanya didasarkan pada dugaan. Dugaan awal dari laporan polisi harus dikembangkan menjadi fakta hukum </w:t>
      </w:r>
      <w:r>
        <w:lastRenderedPageBreak/>
        <w:t>melalui pemeriksaan saksi, korban, tersangka, dan barang bukti. Oleh karena itu, penerapan Pasal 365 KUHP dalam penyidikan membutuhkan kecermatan agar tidak terjadi kesalahan dalam menentukan pasal.</w:t>
      </w:r>
      <w:r>
        <w:rPr>
          <w:rStyle w:val="FootnoteReference"/>
        </w:rPr>
        <w:footnoteReference w:id="36"/>
      </w:r>
    </w:p>
    <w:p w14:paraId="47CE0021" w14:textId="77777777" w:rsidR="005E6F2C" w:rsidRDefault="009C57C4">
      <w:pPr>
        <w:spacing w:line="480" w:lineRule="auto"/>
        <w:ind w:firstLine="709"/>
        <w:jc w:val="both"/>
      </w:pPr>
      <w:r>
        <w:t>BAP yang baik harus mampu menggambarkan peristiwa pidana secara lengkap, mulai dari waktu kejadian, tempat kejadian, identitas para pelaku, identitas korban, barang yang diambil, cara kekerasan dilakukan, hingga akibat yang dialami korban. Kelengkapan tersebut penting karena jaksa penuntut umum akan menggunakan hasil penyidikan sebagai dasar untuk menilai kelayakan perkara dilimpahkan ke pengadilan.</w:t>
      </w:r>
      <w:r>
        <w:rPr>
          <w:rStyle w:val="FootnoteReference"/>
        </w:rPr>
        <w:footnoteReference w:id="37"/>
      </w:r>
    </w:p>
    <w:p w14:paraId="44E7CA7B" w14:textId="77777777" w:rsidR="005E6F2C" w:rsidRDefault="009C57C4">
      <w:pPr>
        <w:spacing w:line="480" w:lineRule="auto"/>
        <w:ind w:firstLine="709"/>
        <w:jc w:val="both"/>
      </w:pPr>
      <w:r>
        <w:t>Berdasarkan hasil wawancara tanggal 2 Juni 2026, penyidik menyampaikan bahwa penerapan Pasal 365 KUHP dilakukan setelah penyidik menilai adanya kesesuaian antara laporan korban, fakta pemeriksaan, dan alat bukti yang ditemukan. Penyidik juga menekankan bahwa apabila unsur kekerasan tidak dapat dibuktikan, maka perkara dapat bergeser menjadi pencurian biasa. Sebaliknya, apabila kekerasan terbukti berkaitan langsung dengan pengambilan barang, maka Pasal 365 KUHP dapat diterapkan.</w:t>
      </w:r>
      <w:r>
        <w:rPr>
          <w:rStyle w:val="FootnoteReference"/>
        </w:rPr>
        <w:footnoteReference w:id="38"/>
      </w:r>
    </w:p>
    <w:p w14:paraId="0B4F9805" w14:textId="77777777" w:rsidR="005E6F2C" w:rsidRDefault="009C57C4">
      <w:pPr>
        <w:spacing w:line="480" w:lineRule="auto"/>
        <w:ind w:firstLine="709"/>
        <w:jc w:val="both"/>
      </w:pPr>
      <w:r>
        <w:t xml:space="preserve">Dalam penerapan Pasal 365 KUHP, penyidik perlu membedakan antara pencurian biasa dan pencurian dengan kekerasan secara tegas. Pencurian biasa hanya menitikberatkan pada pengambilan barang milik orang lain secara melawan hukum, sedangkan pencurian dengan kekerasan menambahkan unsur kekerasan atau ancaman kekerasan sebagai sarana untuk mempersiapkan, mempermudah, </w:t>
      </w:r>
      <w:r>
        <w:lastRenderedPageBreak/>
        <w:t>atau mempertahankan hasil pencurian. Perbedaan ini penting karena menentukan berat ringannya ancaman pidana dan arah pembuktian dalam BAP.</w:t>
      </w:r>
      <w:r>
        <w:rPr>
          <w:rStyle w:val="FootnoteReference"/>
        </w:rPr>
        <w:footnoteReference w:id="39"/>
      </w:r>
    </w:p>
    <w:p w14:paraId="0787A84C" w14:textId="77777777" w:rsidR="005E6F2C" w:rsidRDefault="009C57C4">
      <w:pPr>
        <w:spacing w:line="480" w:lineRule="auto"/>
        <w:ind w:firstLine="709"/>
        <w:jc w:val="both"/>
      </w:pPr>
      <w:r>
        <w:t>Dalam perkara yang dikaji, penyidik juga harus menilai apakah kekerasan yang terjadi berdiri sendiri atau memiliki hubungan langsung dengan pengambilan barang milik korban. Apabila kekerasan hanya terjadi sebagai perkelahian biasa tanpa hubungan dengan pengambilan barang, maka konstruksi Pasal 365 KUHP menjadi lemah. Sebaliknya, apabila kekerasan digunakan untuk membuat korban tidak berdaya sehingga barang dapat dikuasai pelaku, maka hubungan antara kekerasan dan pencurian menjadi lebih jelas.</w:t>
      </w:r>
      <w:r>
        <w:rPr>
          <w:rStyle w:val="FootnoteReference"/>
        </w:rPr>
        <w:footnoteReference w:id="40"/>
      </w:r>
    </w:p>
    <w:p w14:paraId="7A503316" w14:textId="77777777" w:rsidR="005E6F2C" w:rsidRDefault="009C57C4">
      <w:pPr>
        <w:spacing w:line="480" w:lineRule="auto"/>
        <w:ind w:firstLine="709"/>
        <w:jc w:val="both"/>
      </w:pPr>
      <w:r>
        <w:t>Unsur kekerasan dalam Pasal 365 KUHP tidak selalu harus mengakibatkan luka berat, sebab yang menjadi pokok adalah adanya penggunaan tenaga atau ancaman terhadap orang yang mengganggu kebebasan korban. Dalam BAP, kekerasan dapat dibuktikan melalui keterangan korban, saksi yang melihat kejadian, kondisi fisik korban, maupun pengakuan tersangka. Dengan demikian, penyidik harus memastikan bahwa kekerasan tersebut bukan sekadar dugaan, melainkan memiliki dasar pembuktian yang dapat dipertanggungjawabkan.</w:t>
      </w:r>
      <w:r>
        <w:rPr>
          <w:rStyle w:val="FootnoteReference"/>
        </w:rPr>
        <w:footnoteReference w:id="41"/>
      </w:r>
    </w:p>
    <w:p w14:paraId="71C4DE22" w14:textId="77777777" w:rsidR="005E6F2C" w:rsidRDefault="009C57C4">
      <w:pPr>
        <w:spacing w:line="480" w:lineRule="auto"/>
        <w:ind w:firstLine="709"/>
        <w:jc w:val="both"/>
      </w:pPr>
      <w:r>
        <w:t xml:space="preserve">Selain kekerasan, unsur waktu terjadinya kekerasan juga menjadi bagian penting dalam Pasal 365 KUHP. Kekerasan dapat dilakukan sebelum pencurian, pada saat pencurian berlangsung, atau setelah pencurian dilakukan. Oleh karena itu, kronologi dalam BAP harus disusun secara berurutan agar terlihat apakah </w:t>
      </w:r>
      <w:r>
        <w:lastRenderedPageBreak/>
        <w:t>kekerasan tersebut memang menjadi bagian dari satu rangkaian pencurian atau merupakan peristiwa yang terpisah.</w:t>
      </w:r>
      <w:r>
        <w:rPr>
          <w:rStyle w:val="FootnoteReference"/>
        </w:rPr>
        <w:footnoteReference w:id="42"/>
      </w:r>
    </w:p>
    <w:p w14:paraId="288AA408" w14:textId="77777777" w:rsidR="005E6F2C" w:rsidRDefault="009C57C4">
      <w:pPr>
        <w:spacing w:line="480" w:lineRule="auto"/>
        <w:ind w:firstLine="709"/>
        <w:jc w:val="both"/>
      </w:pPr>
      <w:r>
        <w:t>Penyidik juga perlu memperhatikan unsur dilakukan secara bersama-sama karena keadaan tersebut dapat memperberat kualifikasi perbuatan. Unsur bersama-sama tidak cukup hanya dibuktikan dengan banyaknya orang di tempat kejadian, tetapi harus terlihat adanya keterlibatan dalam satu rangkaian perbuatan. Dengan demikian, BAP harus mampu menggambarkan keterkaitan tindakan para pelaku, baik sebagai pelaku yang melakukan kekerasan, mengambil barang, maupun membantu penguasaan barang hasil kejahatan.</w:t>
      </w:r>
      <w:r>
        <w:rPr>
          <w:rStyle w:val="FootnoteReference"/>
        </w:rPr>
        <w:footnoteReference w:id="43"/>
      </w:r>
    </w:p>
    <w:p w14:paraId="69C38D1D" w14:textId="77777777" w:rsidR="005E6F2C" w:rsidRDefault="009C57C4">
      <w:pPr>
        <w:spacing w:line="480" w:lineRule="auto"/>
        <w:ind w:firstLine="709"/>
        <w:jc w:val="both"/>
      </w:pPr>
      <w:r>
        <w:t>Dalam praktik penyidikan, uraian mengenai alat bukti harus diarahkan pada setiap unsur delik. Keterangan korban dapat menjelaskan barang yang diambil dan bentuk kekerasan yang dialami, keterangan saksi dapat memperkuat kronologi, sedangkan barang bukti dapat menunjukkan hubungan antara pelaku dan objek pencurian. Apabila alat bukti tersebut saling bersesuaian, maka penerapan Pasal 365 KUHP menjadi lebih kuat secara yuridis.</w:t>
      </w:r>
      <w:r>
        <w:rPr>
          <w:rStyle w:val="FootnoteReference"/>
        </w:rPr>
        <w:footnoteReference w:id="44"/>
      </w:r>
    </w:p>
    <w:p w14:paraId="0E0972F2" w14:textId="77777777" w:rsidR="005E6F2C" w:rsidRDefault="009C57C4">
      <w:pPr>
        <w:spacing w:line="480" w:lineRule="auto"/>
        <w:ind w:firstLine="709"/>
        <w:jc w:val="both"/>
      </w:pPr>
      <w:r>
        <w:t>BAP juga harus memuat keterangan mengenai kondisi korban setelah kejadian. Kondisi korban penting bukan hanya untuk menunjukkan adanya kekerasan, tetapi juga untuk memperlihatkan akibat langsung dari perbuatan pelaku. Apabila korban mengalami luka, ketakutan, atau tidak mampu mempertahankan barangnya, maka keadaan tersebut dapat memperkuat unsur bahwa kekerasan digunakan untuk mempermudah pencurian.</w:t>
      </w:r>
      <w:r>
        <w:rPr>
          <w:rStyle w:val="FootnoteReference"/>
        </w:rPr>
        <w:footnoteReference w:id="45"/>
      </w:r>
    </w:p>
    <w:p w14:paraId="1B8B667D" w14:textId="77777777" w:rsidR="005E6F2C" w:rsidRDefault="009C57C4">
      <w:pPr>
        <w:spacing w:line="480" w:lineRule="auto"/>
        <w:ind w:firstLine="709"/>
        <w:jc w:val="both"/>
      </w:pPr>
      <w:r>
        <w:lastRenderedPageBreak/>
        <w:t>Dalam perkara pencurian dengan kekerasan, keterangan tersangka tidak boleh menjadi satu-satunya dasar penerapan pasal. Penyidik tetap harus menguji keterangan tersangka dengan bukti lain, karena tersangka dapat mengurangi peran, menyangkal keterlibatan, atau memindahkan tanggung jawab kepada pelaku lain. Oleh karena itu, kesesuaian antara keterangan korban, saksi, barang bukti, dan keterangan tersangka menjadi ukuran penting dalam membangun konstruksi Pasal 365 KUHP.</w:t>
      </w:r>
      <w:r>
        <w:rPr>
          <w:rStyle w:val="FootnoteReference"/>
        </w:rPr>
        <w:footnoteReference w:id="46"/>
      </w:r>
    </w:p>
    <w:p w14:paraId="4DE78235" w14:textId="77777777" w:rsidR="005E6F2C" w:rsidRDefault="009C57C4">
      <w:pPr>
        <w:spacing w:line="480" w:lineRule="auto"/>
        <w:ind w:firstLine="709"/>
        <w:jc w:val="both"/>
      </w:pPr>
      <w:r>
        <w:t>Penerapan Pasal 365 KUHP juga menuntut penyidik untuk memisahkan unsur fakta dan unsur hukum. Fakta berkaitan dengan apa yang terjadi, siapa yang melakukan, barang apa yang diambil, serta bagaimana kekerasan dilakukan. Sementara itu, unsur hukum berkaitan dengan penilaian apakah fakta tersebut memenuhi rumusan pencurian dengan kekerasan. Pemisahan ini penting agar analisis dalam BAP tidak hanya bersifat naratif, tetapi juga memenuhi konstruksi yuridis.</w:t>
      </w:r>
      <w:r>
        <w:rPr>
          <w:rStyle w:val="FootnoteReference"/>
        </w:rPr>
        <w:footnoteReference w:id="47"/>
      </w:r>
    </w:p>
    <w:p w14:paraId="457AF8F4" w14:textId="77777777" w:rsidR="005E6F2C" w:rsidRDefault="009C57C4">
      <w:pPr>
        <w:spacing w:line="480" w:lineRule="auto"/>
        <w:ind w:firstLine="709"/>
        <w:jc w:val="both"/>
      </w:pPr>
      <w:r>
        <w:t>Dengan demikian, penerapan unsur-unsur Pasal 365 KUHP dalam penyidikan harus dilakukan secara kumulatif dan berurutan. Penyidik terlebih dahulu membuktikan adanya pencurian, kemudian menilai adanya kekerasan atau ancaman kekerasan, setelah itu menguraikan keterlibatan bersama-sama para pelaku. Apabila seluruh unsur tersebut terhubung dalam satu rangkaian fakta, maka penerapan Pasal 365 KUHP dalam BAP dapat dikatakan memiliki dasar hukum yang kuat.</w:t>
      </w:r>
      <w:r>
        <w:rPr>
          <w:rStyle w:val="FootnoteReference"/>
        </w:rPr>
        <w:footnoteReference w:id="48"/>
      </w:r>
    </w:p>
    <w:p w14:paraId="19AD9058" w14:textId="77777777" w:rsidR="005E6F2C" w:rsidRDefault="009C57C4">
      <w:pPr>
        <w:spacing w:line="480" w:lineRule="auto"/>
        <w:ind w:firstLine="709"/>
        <w:jc w:val="both"/>
      </w:pPr>
      <w:r>
        <w:lastRenderedPageBreak/>
        <w:t>Dengan melihat uraian tersebut, dapat dipahami bahwa penerapan unsur-unsur Pasal 365 KUHP dalam praktik penyidikan di Polsek Dolok Masihul dilakukan melalui analisis terhadap unsur pencurian, unsur kekerasan, unsur melawan hukum, dan unsur bersama-sama. Keempat aspek tersebut harus saling berkaitan dan tidak dapat dipisahkan. Apabila salah satu unsur tidak terbukti, maka konstruksi hukum pencurian dengan kekerasan secara bersama-sama menjadi lemah.</w:t>
      </w:r>
    </w:p>
    <w:p w14:paraId="3287426E" w14:textId="77777777" w:rsidR="005E6F2C" w:rsidRDefault="005E6F2C">
      <w:pPr>
        <w:spacing w:line="480" w:lineRule="auto"/>
        <w:jc w:val="both"/>
      </w:pPr>
    </w:p>
    <w:p w14:paraId="0A0C5439" w14:textId="77777777" w:rsidR="005E6F2C" w:rsidRPr="00481D99" w:rsidRDefault="009C57C4">
      <w:pPr>
        <w:pStyle w:val="Heading2"/>
        <w:ind w:left="709" w:hanging="709"/>
        <w:jc w:val="both"/>
        <w:rPr>
          <w:b w:val="0"/>
          <w:bCs w:val="0"/>
        </w:rPr>
      </w:pPr>
      <w:bookmarkStart w:id="4" w:name="_Toc232117615"/>
      <w:r w:rsidRPr="00481D99">
        <w:rPr>
          <w:rStyle w:val="Strong"/>
          <w:b/>
          <w:bCs/>
        </w:rPr>
        <w:t xml:space="preserve">B. </w:t>
      </w:r>
      <w:r w:rsidRPr="00481D99">
        <w:rPr>
          <w:rStyle w:val="Strong"/>
          <w:b/>
          <w:bCs/>
        </w:rPr>
        <w:tab/>
      </w:r>
      <w:proofErr w:type="spellStart"/>
      <w:r w:rsidRPr="00481D99">
        <w:rPr>
          <w:rStyle w:val="Strong"/>
          <w:b/>
          <w:bCs/>
        </w:rPr>
        <w:t>Peran</w:t>
      </w:r>
      <w:proofErr w:type="spellEnd"/>
      <w:r w:rsidRPr="00481D99">
        <w:rPr>
          <w:rStyle w:val="Strong"/>
          <w:b/>
          <w:bCs/>
        </w:rPr>
        <w:t xml:space="preserve"> </w:t>
      </w:r>
      <w:proofErr w:type="spellStart"/>
      <w:r w:rsidRPr="00481D99">
        <w:rPr>
          <w:rStyle w:val="Strong"/>
          <w:b/>
          <w:bCs/>
        </w:rPr>
        <w:t>dan</w:t>
      </w:r>
      <w:proofErr w:type="spellEnd"/>
      <w:r w:rsidRPr="00481D99">
        <w:rPr>
          <w:rStyle w:val="Strong"/>
          <w:b/>
          <w:bCs/>
        </w:rPr>
        <w:t xml:space="preserve"> </w:t>
      </w:r>
      <w:proofErr w:type="spellStart"/>
      <w:r w:rsidRPr="00481D99">
        <w:rPr>
          <w:rStyle w:val="Strong"/>
          <w:b/>
          <w:bCs/>
        </w:rPr>
        <w:t>Bentuk</w:t>
      </w:r>
      <w:proofErr w:type="spellEnd"/>
      <w:r w:rsidRPr="00481D99">
        <w:rPr>
          <w:rStyle w:val="Strong"/>
          <w:b/>
          <w:bCs/>
        </w:rPr>
        <w:t xml:space="preserve"> </w:t>
      </w:r>
      <w:proofErr w:type="spellStart"/>
      <w:r w:rsidRPr="00481D99">
        <w:rPr>
          <w:rStyle w:val="Strong"/>
          <w:b/>
          <w:bCs/>
        </w:rPr>
        <w:t>Keterlibatan</w:t>
      </w:r>
      <w:proofErr w:type="spellEnd"/>
      <w:r w:rsidRPr="00481D99">
        <w:rPr>
          <w:rStyle w:val="Strong"/>
          <w:b/>
          <w:bCs/>
        </w:rPr>
        <w:t xml:space="preserve"> </w:t>
      </w:r>
      <w:proofErr w:type="spellStart"/>
      <w:r w:rsidRPr="00481D99">
        <w:rPr>
          <w:rStyle w:val="Strong"/>
          <w:b/>
          <w:bCs/>
        </w:rPr>
        <w:t>Masing-Masing</w:t>
      </w:r>
      <w:proofErr w:type="spellEnd"/>
      <w:r w:rsidRPr="00481D99">
        <w:rPr>
          <w:rStyle w:val="Strong"/>
          <w:b/>
          <w:bCs/>
        </w:rPr>
        <w:t xml:space="preserve"> </w:t>
      </w:r>
      <w:proofErr w:type="spellStart"/>
      <w:r w:rsidRPr="00481D99">
        <w:rPr>
          <w:rStyle w:val="Strong"/>
          <w:b/>
          <w:bCs/>
        </w:rPr>
        <w:t>Pelaku</w:t>
      </w:r>
      <w:proofErr w:type="spellEnd"/>
      <w:r w:rsidRPr="00481D99">
        <w:rPr>
          <w:rStyle w:val="Strong"/>
          <w:b/>
          <w:bCs/>
        </w:rPr>
        <w:t xml:space="preserve"> </w:t>
      </w:r>
      <w:proofErr w:type="spellStart"/>
      <w:r w:rsidRPr="00481D99">
        <w:rPr>
          <w:rStyle w:val="Strong"/>
          <w:b/>
          <w:bCs/>
        </w:rPr>
        <w:t>dalam</w:t>
      </w:r>
      <w:proofErr w:type="spellEnd"/>
      <w:r w:rsidRPr="00481D99">
        <w:rPr>
          <w:rStyle w:val="Strong"/>
          <w:b/>
          <w:bCs/>
        </w:rPr>
        <w:t xml:space="preserve"> </w:t>
      </w:r>
      <w:proofErr w:type="spellStart"/>
      <w:r w:rsidRPr="00481D99">
        <w:rPr>
          <w:rStyle w:val="Strong"/>
          <w:b/>
          <w:bCs/>
        </w:rPr>
        <w:t>Tindak</w:t>
      </w:r>
      <w:proofErr w:type="spellEnd"/>
      <w:r w:rsidRPr="00481D99">
        <w:rPr>
          <w:rStyle w:val="Strong"/>
          <w:b/>
          <w:bCs/>
        </w:rPr>
        <w:t xml:space="preserve"> </w:t>
      </w:r>
      <w:proofErr w:type="spellStart"/>
      <w:r w:rsidRPr="00481D99">
        <w:rPr>
          <w:rStyle w:val="Strong"/>
          <w:b/>
          <w:bCs/>
        </w:rPr>
        <w:t>Pidana</w:t>
      </w:r>
      <w:proofErr w:type="spellEnd"/>
      <w:r w:rsidRPr="00481D99">
        <w:rPr>
          <w:rStyle w:val="Strong"/>
          <w:b/>
          <w:bCs/>
        </w:rPr>
        <w:t xml:space="preserve"> </w:t>
      </w:r>
      <w:proofErr w:type="spellStart"/>
      <w:r w:rsidRPr="00481D99">
        <w:rPr>
          <w:rStyle w:val="Strong"/>
          <w:b/>
          <w:bCs/>
        </w:rPr>
        <w:t>Pencurian</w:t>
      </w:r>
      <w:proofErr w:type="spellEnd"/>
      <w:r w:rsidRPr="00481D99">
        <w:rPr>
          <w:rStyle w:val="Strong"/>
          <w:b/>
          <w:bCs/>
        </w:rPr>
        <w:t xml:space="preserve"> </w:t>
      </w:r>
      <w:proofErr w:type="spellStart"/>
      <w:r w:rsidRPr="00481D99">
        <w:rPr>
          <w:rStyle w:val="Strong"/>
          <w:b/>
          <w:bCs/>
        </w:rPr>
        <w:t>dengan</w:t>
      </w:r>
      <w:proofErr w:type="spellEnd"/>
      <w:r w:rsidRPr="00481D99">
        <w:rPr>
          <w:rStyle w:val="Strong"/>
          <w:b/>
          <w:bCs/>
        </w:rPr>
        <w:t xml:space="preserve"> </w:t>
      </w:r>
      <w:proofErr w:type="spellStart"/>
      <w:r w:rsidRPr="00481D99">
        <w:rPr>
          <w:rStyle w:val="Strong"/>
          <w:b/>
          <w:bCs/>
        </w:rPr>
        <w:t>Kekerasan</w:t>
      </w:r>
      <w:proofErr w:type="spellEnd"/>
      <w:r w:rsidRPr="00481D99">
        <w:rPr>
          <w:rStyle w:val="Strong"/>
          <w:b/>
          <w:bCs/>
        </w:rPr>
        <w:t xml:space="preserve"> yang </w:t>
      </w:r>
      <w:proofErr w:type="spellStart"/>
      <w:r w:rsidRPr="00481D99">
        <w:rPr>
          <w:rStyle w:val="Strong"/>
          <w:b/>
          <w:bCs/>
        </w:rPr>
        <w:t>Dilakukan</w:t>
      </w:r>
      <w:proofErr w:type="spellEnd"/>
      <w:r w:rsidRPr="00481D99">
        <w:rPr>
          <w:rStyle w:val="Strong"/>
          <w:b/>
          <w:bCs/>
        </w:rPr>
        <w:t xml:space="preserve"> </w:t>
      </w:r>
      <w:proofErr w:type="spellStart"/>
      <w:r w:rsidRPr="00481D99">
        <w:rPr>
          <w:rStyle w:val="Strong"/>
          <w:b/>
          <w:bCs/>
        </w:rPr>
        <w:t>Secara</w:t>
      </w:r>
      <w:proofErr w:type="spellEnd"/>
      <w:r w:rsidRPr="00481D99">
        <w:rPr>
          <w:rStyle w:val="Strong"/>
          <w:b/>
          <w:bCs/>
        </w:rPr>
        <w:t xml:space="preserve"> </w:t>
      </w:r>
      <w:proofErr w:type="spellStart"/>
      <w:r w:rsidRPr="00481D99">
        <w:rPr>
          <w:rStyle w:val="Strong"/>
          <w:b/>
          <w:bCs/>
        </w:rPr>
        <w:t>Bersama-Sama</w:t>
      </w:r>
      <w:proofErr w:type="spellEnd"/>
      <w:r w:rsidRPr="00481D99">
        <w:rPr>
          <w:rStyle w:val="Strong"/>
          <w:b/>
          <w:bCs/>
        </w:rPr>
        <w:t xml:space="preserve"> </w:t>
      </w:r>
      <w:proofErr w:type="spellStart"/>
      <w:r w:rsidRPr="00481D99">
        <w:rPr>
          <w:rStyle w:val="Strong"/>
          <w:b/>
          <w:bCs/>
        </w:rPr>
        <w:t>Berdasarkan</w:t>
      </w:r>
      <w:proofErr w:type="spellEnd"/>
      <w:r w:rsidRPr="00481D99">
        <w:rPr>
          <w:rStyle w:val="Strong"/>
          <w:b/>
          <w:bCs/>
        </w:rPr>
        <w:t xml:space="preserve"> </w:t>
      </w:r>
      <w:proofErr w:type="spellStart"/>
      <w:r w:rsidRPr="00481D99">
        <w:rPr>
          <w:rStyle w:val="Strong"/>
          <w:b/>
          <w:bCs/>
        </w:rPr>
        <w:t>Fakta</w:t>
      </w:r>
      <w:proofErr w:type="spellEnd"/>
      <w:r w:rsidRPr="00481D99">
        <w:rPr>
          <w:rStyle w:val="Strong"/>
          <w:b/>
          <w:bCs/>
        </w:rPr>
        <w:t xml:space="preserve"> </w:t>
      </w:r>
      <w:proofErr w:type="spellStart"/>
      <w:r w:rsidRPr="00481D99">
        <w:rPr>
          <w:rStyle w:val="Strong"/>
          <w:b/>
          <w:bCs/>
        </w:rPr>
        <w:t>Empiris</w:t>
      </w:r>
      <w:proofErr w:type="spellEnd"/>
      <w:r w:rsidRPr="00481D99">
        <w:rPr>
          <w:rStyle w:val="Strong"/>
          <w:b/>
          <w:bCs/>
        </w:rPr>
        <w:t xml:space="preserve"> </w:t>
      </w:r>
      <w:proofErr w:type="spellStart"/>
      <w:r w:rsidRPr="00481D99">
        <w:rPr>
          <w:rStyle w:val="Strong"/>
          <w:b/>
          <w:bCs/>
        </w:rPr>
        <w:t>dalam</w:t>
      </w:r>
      <w:proofErr w:type="spellEnd"/>
      <w:r w:rsidRPr="00481D99">
        <w:rPr>
          <w:rStyle w:val="Strong"/>
          <w:b/>
          <w:bCs/>
        </w:rPr>
        <w:t xml:space="preserve"> BAP di </w:t>
      </w:r>
      <w:proofErr w:type="spellStart"/>
      <w:r w:rsidRPr="00481D99">
        <w:rPr>
          <w:rStyle w:val="Strong"/>
          <w:b/>
          <w:bCs/>
        </w:rPr>
        <w:t>Polsek</w:t>
      </w:r>
      <w:proofErr w:type="spellEnd"/>
      <w:r w:rsidRPr="00481D99">
        <w:rPr>
          <w:rStyle w:val="Strong"/>
          <w:b/>
          <w:bCs/>
        </w:rPr>
        <w:t xml:space="preserve"> </w:t>
      </w:r>
      <w:proofErr w:type="spellStart"/>
      <w:r w:rsidRPr="00481D99">
        <w:rPr>
          <w:rStyle w:val="Strong"/>
          <w:b/>
          <w:bCs/>
        </w:rPr>
        <w:t>Dolok</w:t>
      </w:r>
      <w:proofErr w:type="spellEnd"/>
      <w:r w:rsidRPr="00481D99">
        <w:rPr>
          <w:rStyle w:val="Strong"/>
          <w:b/>
          <w:bCs/>
        </w:rPr>
        <w:t xml:space="preserve"> </w:t>
      </w:r>
      <w:proofErr w:type="spellStart"/>
      <w:r w:rsidRPr="00481D99">
        <w:rPr>
          <w:rStyle w:val="Strong"/>
          <w:b/>
          <w:bCs/>
        </w:rPr>
        <w:t>Masihul</w:t>
      </w:r>
      <w:bookmarkEnd w:id="4"/>
      <w:proofErr w:type="spellEnd"/>
    </w:p>
    <w:p w14:paraId="1607D584" w14:textId="77777777" w:rsidR="005E6F2C" w:rsidRDefault="009C57C4">
      <w:pPr>
        <w:spacing w:line="480" w:lineRule="auto"/>
        <w:ind w:firstLine="709"/>
        <w:jc w:val="both"/>
      </w:pPr>
      <w:r>
        <w:t>Pembahasan mengenai peran dan bentuk keterlibatan masing-masing pelaku dalam tindak pidana pencurian dengan kekerasan perlu dilihat dari hubungan antara perbuatan para pelaku dengan akibat yang dialami oleh korban. Dalam perkara ini, BAP menunjukkan bahwa perbuatan tidak dilakukan oleh satu orang saja, melainkan melibatkan beberapa orang yang memiliki tindakan berbeda namun berada dalam satu rangkaian kejadian. Oleh karena itu, analisis terhadap peran masing-masing pelaku menjadi penting agar pertanggungjawaban pidana tidak hanya didasarkan pada keberadaan pelaku di tempat kejadian, tetapi juga pada kontribusi nyata yang dilakukan dalam peristiwa tersebut.</w:t>
      </w:r>
      <w:r>
        <w:rPr>
          <w:rStyle w:val="FootnoteReference"/>
        </w:rPr>
        <w:footnoteReference w:id="49"/>
      </w:r>
    </w:p>
    <w:p w14:paraId="4596F561" w14:textId="77777777" w:rsidR="005E6F2C" w:rsidRDefault="009C57C4">
      <w:pPr>
        <w:spacing w:line="480" w:lineRule="auto"/>
        <w:ind w:firstLine="709"/>
        <w:jc w:val="both"/>
      </w:pPr>
      <w:r>
        <w:t xml:space="preserve">Berdasarkan keterangan saksi korban Jhon Crist Purba, peristiwa bermula ketika korban bersama rekannya, Sanggam Pangaribuan, sedang mengendarai </w:t>
      </w:r>
      <w:r>
        <w:lastRenderedPageBreak/>
        <w:t>sepeda motor Honda Beat dengan nomor polisi BK 3998 NAW. Pada saat itu, pelaku mendekati dan memepet kendaraan korban, kemudian menarik baju Sanggam hingga keduanya terjatuh. Fakta ini menunjukkan bahwa tindakan awal pelaku bukan hanya mendekati korban, tetapi sudah mengarah pada upaya menghentikan korban secara paksa agar barang milik korban lebih mudah dikuasai.</w:t>
      </w:r>
      <w:r>
        <w:rPr>
          <w:rStyle w:val="FootnoteReference"/>
        </w:rPr>
        <w:footnoteReference w:id="50"/>
      </w:r>
    </w:p>
    <w:p w14:paraId="4B506E91" w14:textId="77777777" w:rsidR="005E6F2C" w:rsidRDefault="009C57C4">
      <w:pPr>
        <w:spacing w:line="480" w:lineRule="auto"/>
        <w:ind w:firstLine="709"/>
        <w:jc w:val="both"/>
      </w:pPr>
      <w:r>
        <w:t>Dari keterangan korban, Martin Harahap disebut sebagai salah satu pelaku yang berperan aktif dalam melakukan kekerasan. Martin tidak hanya berada di tempat kejadian, tetapi juga disebut menarik korban atau rekan korban hingga terjatuh, kemudian melakukan pemukulan terhadap korban. Peran Martin dalam perkara ini dapat dipahami sebagai pelaku utama yang membuka jalan terjadinya pencurian dengan cara melumpuhkan korban melalui kekerasan fisik.</w:t>
      </w:r>
      <w:r>
        <w:rPr>
          <w:rStyle w:val="FootnoteReference"/>
        </w:rPr>
        <w:footnoteReference w:id="51"/>
      </w:r>
    </w:p>
    <w:p w14:paraId="67AE92D4" w14:textId="77777777" w:rsidR="005E6F2C" w:rsidRDefault="009C57C4">
      <w:pPr>
        <w:spacing w:line="480" w:lineRule="auto"/>
        <w:ind w:firstLine="709"/>
        <w:jc w:val="both"/>
      </w:pPr>
      <w:r>
        <w:t>Keterangan korban juga menjelaskan bahwa setelah korban terjatuh, Martin Harahap melakukan pemukulan terhadap bagian tubuh korban, termasuk bagian rahang, pinggang, dan mata. Tindakan tersebut memperlihatkan bahwa kekerasan yang dilakukan bukan tindakan spontan biasa, tetapi merupakan bagian dari rangkaian perbuatan yang bertujuan melemahkan korban. Dengan kondisi korban yang tidak berdaya, pelaku lain memiliki kesempatan untuk mengambil barang milik korban.</w:t>
      </w:r>
      <w:r>
        <w:rPr>
          <w:rStyle w:val="FootnoteReference"/>
        </w:rPr>
        <w:footnoteReference w:id="52"/>
      </w:r>
    </w:p>
    <w:p w14:paraId="2F43CD45" w14:textId="77777777" w:rsidR="005E6F2C" w:rsidRDefault="009C57C4">
      <w:pPr>
        <w:spacing w:line="480" w:lineRule="auto"/>
        <w:ind w:firstLine="709"/>
        <w:jc w:val="both"/>
      </w:pPr>
      <w:r>
        <w:t xml:space="preserve">Selain Martin Harahap, BAP juga menunjukkan adanya keterlibatan Toni Leonardo Sitorus. Dalam keterangannya sebagai tersangka, Toni mengakui bahwa </w:t>
      </w:r>
      <w:r>
        <w:lastRenderedPageBreak/>
        <w:t>ia bersama rekan-rekannya melakukan kekerasan terhadap korban sebelum barang milik korban diambil. Toni juga menjelaskan bahwa perbuatan tersebut dilakukan setelah mereka mencurigai korban dan rekannya membawa alat-alat pencurian seperti gunting dan jerat. Meskipun alasan tersebut dikemukakan oleh tersangka, tindakan kekerasan dan pengambilan barang tetap tidak dapat dibenarkan secara hukum.</w:t>
      </w:r>
      <w:r>
        <w:rPr>
          <w:rStyle w:val="FootnoteReference"/>
        </w:rPr>
        <w:footnoteReference w:id="53"/>
      </w:r>
    </w:p>
    <w:p w14:paraId="5726AC61" w14:textId="77777777" w:rsidR="005E6F2C" w:rsidRDefault="009C57C4">
      <w:pPr>
        <w:spacing w:line="480" w:lineRule="auto"/>
        <w:ind w:firstLine="709"/>
        <w:jc w:val="both"/>
      </w:pPr>
      <w:r>
        <w:t>Peran Toni Leonardo Sitorus dalam perkara ini terlihat dari keterangannya yang menyatakan bahwa ia ikut melakukan pemukulan terhadap korban. Dalam BAP, Toni menerangkan bahwa dirinya memukul korban beberapa kali pada bagian badan. Keterangan ini menunjukkan bahwa Toni bukan hanya mengetahui kejadian, melainkan terlibat langsung dalam kekerasan yang menjadi bagian dari unsur Pasal 365 KUHP.</w:t>
      </w:r>
      <w:r>
        <w:rPr>
          <w:rStyle w:val="FootnoteReference"/>
        </w:rPr>
        <w:footnoteReference w:id="54"/>
      </w:r>
    </w:p>
    <w:p w14:paraId="01AFD6B1" w14:textId="77777777" w:rsidR="005E6F2C" w:rsidRDefault="009C57C4">
      <w:pPr>
        <w:spacing w:line="480" w:lineRule="auto"/>
        <w:ind w:firstLine="709"/>
        <w:jc w:val="both"/>
      </w:pPr>
      <w:r>
        <w:t>Febrin Siahaan juga disebut sebagai salah satu pelaku yang turut melakukan kekerasan terhadap korban. Berdasarkan keterangan tersangka lain dan keterangan saksi, Febrin turut melakukan pemukulan terhadap bagian tubuh dan wajah korban. Dengan demikian, keterlibatan Febrin tidak dapat diposisikan sebagai pihak pasif, karena ada perbuatan aktif yang mendukung terjadinya kekerasan terhadap korban.</w:t>
      </w:r>
      <w:r>
        <w:rPr>
          <w:rStyle w:val="FootnoteReference"/>
        </w:rPr>
        <w:footnoteReference w:id="55"/>
      </w:r>
    </w:p>
    <w:p w14:paraId="51CBE26C" w14:textId="77777777" w:rsidR="005E6F2C" w:rsidRDefault="009C57C4">
      <w:pPr>
        <w:spacing w:line="480" w:lineRule="auto"/>
        <w:ind w:firstLine="709"/>
        <w:jc w:val="both"/>
      </w:pPr>
      <w:r>
        <w:t xml:space="preserve">Dalam perkara ini, Teguh juga disebut sebagai salah satu orang yang ikut terlibat dalam rangkaian perbuatan. Berdasarkan keterangan dalam BAP, Teguh bersama pelaku lain melakukan kekerasan terhadap korban dan ikut dalam </w:t>
      </w:r>
      <w:r>
        <w:lastRenderedPageBreak/>
        <w:t>rangkaian pengambilan barang. Walaupun peran setiap pelaku tidak selalu sama, keberadaan Teguh dalam rangkaian kekerasan dan pencurian menunjukkan adanya kerja sama faktual antar pelaku.</w:t>
      </w:r>
      <w:r>
        <w:rPr>
          <w:rStyle w:val="FootnoteReference"/>
        </w:rPr>
        <w:footnoteReference w:id="56"/>
      </w:r>
    </w:p>
    <w:p w14:paraId="15BA23D4" w14:textId="77777777" w:rsidR="005E6F2C" w:rsidRDefault="009C57C4">
      <w:pPr>
        <w:spacing w:line="480" w:lineRule="auto"/>
        <w:ind w:firstLine="709"/>
        <w:jc w:val="both"/>
      </w:pPr>
      <w:r>
        <w:t>Keterangan saksi Sanggam Agustinus Pangaribuan memperkuat keterangan korban karena ia berada langsung bersama korban pada saat kejadian. Sanggam menerangkan bahwa awalnya ia bersama korban diserempet oleh pelaku yang menggunakan sepeda motor, kemudian korban dipukuli oleh para pelaku. Keterangan ini penting karena Sanggam menjadi saksi yang melihat secara langsung bagaimana kekerasan dilakukan dan bagaimana korban kehilangan barang-barangnya.</w:t>
      </w:r>
      <w:r>
        <w:rPr>
          <w:rStyle w:val="FootnoteReference"/>
        </w:rPr>
        <w:footnoteReference w:id="57"/>
      </w:r>
    </w:p>
    <w:p w14:paraId="20FD3749" w14:textId="77777777" w:rsidR="005E6F2C" w:rsidRDefault="009C57C4">
      <w:pPr>
        <w:spacing w:line="480" w:lineRule="auto"/>
        <w:ind w:firstLine="709"/>
        <w:jc w:val="both"/>
      </w:pPr>
      <w:r>
        <w:t>Keterangan Sanggam juga menunjukkan bahwa ia sempat melarikan diri setelah peristiwa pemepetan dan pemukulan terjadi. Keadaan ini menggambarkan bahwa situasi di tempat kejadian cukup mengancam dan membuat saksi tidak mampu memberikan pertolongan secara langsung kepada korban. Dalam konteks pembuktian peran pelaku, keterangan ini mendukung bahwa para pelaku menciptakan kondisi kekerasan yang membuat korban dan saksi berada dalam keadaan takut serta tidak berdaya.</w:t>
      </w:r>
      <w:r>
        <w:rPr>
          <w:rStyle w:val="FootnoteReference"/>
        </w:rPr>
        <w:footnoteReference w:id="58"/>
      </w:r>
    </w:p>
    <w:p w14:paraId="2D3EB8FF" w14:textId="77777777" w:rsidR="005E6F2C" w:rsidRDefault="009C57C4">
      <w:pPr>
        <w:spacing w:line="480" w:lineRule="auto"/>
        <w:ind w:firstLine="709"/>
        <w:jc w:val="both"/>
      </w:pPr>
      <w:r>
        <w:t xml:space="preserve">Keterangan Lamsihar Br Lubis alias Bembeng juga memperkuat fakta bahwa korban mengalami luka-luka setelah kejadian. Lamsihar menerangkan bahwa setelah kejadian ia bertemu dengan korban dan melihat adanya luka pada wajah, kepala, tangan, lutut, bibir, dan mata korban. Meskipun Lamsihar tidak </w:t>
      </w:r>
      <w:r>
        <w:lastRenderedPageBreak/>
        <w:t>melihat langsung kejadian, keterangannya penting untuk menjelaskan akibat kekerasan yang dialami korban setelah perbuatan para pelaku dilakukan.</w:t>
      </w:r>
      <w:r>
        <w:rPr>
          <w:rStyle w:val="FootnoteReference"/>
        </w:rPr>
        <w:footnoteReference w:id="59"/>
      </w:r>
    </w:p>
    <w:p w14:paraId="5A4BE16E" w14:textId="77777777" w:rsidR="005E6F2C" w:rsidRDefault="009C57C4">
      <w:pPr>
        <w:spacing w:line="480" w:lineRule="auto"/>
        <w:ind w:firstLine="709"/>
        <w:jc w:val="both"/>
      </w:pPr>
      <w:r>
        <w:t>Dalam BAP, korban menerangkan bahwa barang yang hilang berupa satu unit sepeda motor Honda Beat BK 3998 NAW warna silver, satu unit handphone Oppo Reno 6 warna hitam, dan uang tunai. Keterangan ini menunjukkan bahwa setelah kekerasan terjadi, terdapat penguasaan barang milik korban oleh para pelaku. Dengan demikian, tindak pidana tersebut tidak berhenti pada penganiayaan, tetapi berlanjut pada pengambilan barang milik korban secara melawan hukum.</w:t>
      </w:r>
      <w:r>
        <w:rPr>
          <w:rStyle w:val="FootnoteReference"/>
        </w:rPr>
        <w:footnoteReference w:id="60"/>
      </w:r>
    </w:p>
    <w:p w14:paraId="2C142E26" w14:textId="77777777" w:rsidR="005E6F2C" w:rsidRDefault="009C57C4">
      <w:pPr>
        <w:spacing w:line="480" w:lineRule="auto"/>
        <w:ind w:firstLine="709"/>
        <w:jc w:val="both"/>
      </w:pPr>
      <w:r>
        <w:t>Peran pelaku dalam pengambilan barang juga terlihat dari keterangan tersangka Martin Harahap. Dalam BAP, Martin menerangkan bahwa sepeda motor korban diambil dan kemudian diserahkan atau dialihkan kepada pihak lain. Keterangan ini memperlihatkan adanya upaya menguasai barang hasil kejahatan setelah korban dibuat tidak berdaya. Perbuatan tersebut memperkuat konstruksi bahwa pencurian dilakukan melalui kekerasan dan dilanjutkan dengan penguasaan terhadap barang korban.</w:t>
      </w:r>
      <w:r>
        <w:rPr>
          <w:rStyle w:val="FootnoteReference"/>
        </w:rPr>
        <w:footnoteReference w:id="61"/>
      </w:r>
    </w:p>
    <w:p w14:paraId="1D3B44F1" w14:textId="77777777" w:rsidR="005E6F2C" w:rsidRDefault="009C57C4">
      <w:pPr>
        <w:spacing w:line="480" w:lineRule="auto"/>
        <w:ind w:firstLine="709"/>
        <w:jc w:val="both"/>
      </w:pPr>
      <w:r>
        <w:t xml:space="preserve">Selain sepeda motor, handphone milik korban juga menjadi objek yang diambil oleh para pelaku. Dalam keterangan BAP, handphone Oppo Reno 6 warna hitam disebut diambil dari korban dan sempat dibawa untuk dibuka kata sandinya. Fakta ini menunjukkan adanya kehendak untuk menguasai barang secara lebih lanjut, bukan sekadar mengambil barang dalam keadaan sesaat. </w:t>
      </w:r>
      <w:r>
        <w:lastRenderedPageBreak/>
        <w:t>Dengan demikian, penguasaan terhadap handphone korban menjadi bagian dari bukti niat memiliki secara melawan hukum.</w:t>
      </w:r>
      <w:r>
        <w:rPr>
          <w:rStyle w:val="FootnoteReference"/>
        </w:rPr>
        <w:footnoteReference w:id="62"/>
      </w:r>
    </w:p>
    <w:p w14:paraId="05D0A2ED" w14:textId="77777777" w:rsidR="005E6F2C" w:rsidRDefault="009C57C4">
      <w:pPr>
        <w:spacing w:line="480" w:lineRule="auto"/>
        <w:ind w:firstLine="709"/>
        <w:jc w:val="both"/>
      </w:pPr>
      <w:r>
        <w:t>Apabila dilihat dari pembagian peran, Martin Harahap dapat diposisikan sebagai pelaku yang berperan dominan dalam memulai kontak fisik dengan korban dan melakukan kekerasan langsung. Hal ini tampak dari keterangan korban, saksi, dan tersangka lain yang menyebut Martin sebagai pihak yang menarik, memukul, dan ikut menguasai barang korban. Peran dominan ini membuat posisi Martin menjadi sangat penting dalam konstruksi penyertaan tindak pidana pencurian dengan kekerasan.</w:t>
      </w:r>
      <w:r>
        <w:rPr>
          <w:rStyle w:val="FootnoteReference"/>
        </w:rPr>
        <w:footnoteReference w:id="63"/>
      </w:r>
      <w:r>
        <w:t xml:space="preserve"> </w:t>
      </w:r>
      <w:r>
        <w:tab/>
      </w:r>
    </w:p>
    <w:p w14:paraId="30071B9D" w14:textId="77777777" w:rsidR="005E6F2C" w:rsidRDefault="009C57C4">
      <w:pPr>
        <w:spacing w:line="480" w:lineRule="auto"/>
        <w:ind w:firstLine="709"/>
        <w:jc w:val="both"/>
      </w:pPr>
      <w:r>
        <w:t>Toni Leonardo Sitorus dapat diposisikan sebagai pelaku yang turut memperkuat tindakan kekerasan bersama-sama. Keterangannya sendiri menunjukkan bahwa ia tidak sekadar hadir, tetapi ikut melakukan pemukulan terhadap korban. Dalam hukum pidana, keterlibatan aktif seperti ini dapat dinilai sebagai bentuk turut serta karena perbuatannya memberi kontribusi langsung terhadap keberhasilan tindak pidana.</w:t>
      </w:r>
      <w:r>
        <w:rPr>
          <w:rStyle w:val="FootnoteReference"/>
        </w:rPr>
        <w:footnoteReference w:id="64"/>
      </w:r>
    </w:p>
    <w:p w14:paraId="1BBB34BF" w14:textId="77777777" w:rsidR="005E6F2C" w:rsidRDefault="009C57C4">
      <w:pPr>
        <w:spacing w:line="480" w:lineRule="auto"/>
        <w:ind w:firstLine="709"/>
        <w:jc w:val="both"/>
      </w:pPr>
      <w:r>
        <w:t xml:space="preserve">Febrin Siahaan memiliki peran sebagai pelaku yang turut melakukan kekerasan terhadap korban dan mengambil bagian dalam rangkaian perbuatan bersama. Keterangan dalam BAP menyebut bahwa Febrin melakukan pemukulan terhadap badan dan wajah korban. Perbuatan tersebut memperlihatkan adanya </w:t>
      </w:r>
      <w:r>
        <w:lastRenderedPageBreak/>
        <w:t>kontribusi langsung dalam melemahkan korban, sehingga pelaku lain dapat mengambil atau menguasai barang milik korban.</w:t>
      </w:r>
      <w:r>
        <w:rPr>
          <w:rStyle w:val="FootnoteReference"/>
        </w:rPr>
        <w:footnoteReference w:id="65"/>
      </w:r>
    </w:p>
    <w:p w14:paraId="77E34DA3" w14:textId="77777777" w:rsidR="005E6F2C" w:rsidRDefault="009C57C4">
      <w:pPr>
        <w:spacing w:line="480" w:lineRule="auto"/>
        <w:ind w:firstLine="709"/>
        <w:jc w:val="both"/>
      </w:pPr>
      <w:r>
        <w:t>Teguh juga ditempatkan sebagai pihak yang ikut dalam rangkaian perbuatan, baik dalam tindakan kekerasan maupun dalam peristiwa setelah barang korban dikuasai. Dalam perkara yang dilakukan secara bersama-sama, peran seperti ini tetap penting karena setiap tindakan yang mendukung terlaksananya pencurian dengan kekerasan dapat menjadi dasar pertanggungjawaban. Oleh sebab itu, keterlibatan Teguh perlu dilihat dalam satu kesatuan peristiwa bersama pelaku lainnya.</w:t>
      </w:r>
      <w:r>
        <w:rPr>
          <w:rStyle w:val="FootnoteReference"/>
        </w:rPr>
        <w:footnoteReference w:id="66"/>
      </w:r>
    </w:p>
    <w:p w14:paraId="662666A4" w14:textId="77777777" w:rsidR="005E6F2C" w:rsidRDefault="009C57C4">
      <w:pPr>
        <w:spacing w:line="480" w:lineRule="auto"/>
        <w:ind w:firstLine="709"/>
        <w:jc w:val="both"/>
      </w:pPr>
      <w:r>
        <w:t>Bentuk keterlibatan para pelaku dalam perkara ini tidak hanya terlihat dari tindakan fisik, tetapi juga dari adanya kesamaan arah perbuatan. Para pelaku sama-sama bergerak dalam satu rangkaian kejadian, mulai dari mendekati korban, melakukan kekerasan, membuat korban tidak berdaya, hingga mengambil barang milik korban. Kesamaan rangkaian tersebut menunjukkan adanya hubungan perbuatan antara satu pelaku dengan pelaku lainnya.</w:t>
      </w:r>
      <w:r>
        <w:rPr>
          <w:rStyle w:val="FootnoteReference"/>
        </w:rPr>
        <w:footnoteReference w:id="67"/>
      </w:r>
    </w:p>
    <w:p w14:paraId="6A3C884D" w14:textId="77777777" w:rsidR="005E6F2C" w:rsidRDefault="009C57C4">
      <w:pPr>
        <w:spacing w:line="480" w:lineRule="auto"/>
        <w:ind w:firstLine="709"/>
        <w:jc w:val="both"/>
      </w:pPr>
      <w:r>
        <w:t xml:space="preserve">Keterangan tersangka Martin Harahap dan Toni Leonardo Sitorus menunjukkan bahwa para pelaku berada dalam situasi bersama sebelum peristiwa terjadi. Mereka berkumpul, melihat korban bersama Sanggam, kemudian mengejar dan mendekati korban. Keadaan ini menunjukkan bahwa perbuatan tidak muncul sebagai tindakan terpisah dari masing-masing pelaku, melainkan </w:t>
      </w:r>
      <w:r>
        <w:lastRenderedPageBreak/>
        <w:t>berkembang menjadi tindakan bersama yang dilakukan dalam satu rangkaian waktu dan tempat.</w:t>
      </w:r>
      <w:r>
        <w:rPr>
          <w:rStyle w:val="FootnoteReference"/>
        </w:rPr>
        <w:footnoteReference w:id="68"/>
      </w:r>
    </w:p>
    <w:p w14:paraId="2F45F34D" w14:textId="77777777" w:rsidR="005E6F2C" w:rsidRDefault="009C57C4">
      <w:pPr>
        <w:spacing w:line="480" w:lineRule="auto"/>
        <w:ind w:firstLine="709"/>
        <w:jc w:val="both"/>
      </w:pPr>
      <w:r>
        <w:t>Dalam menilai keterlibatan masing-masing pelaku, penyidik perlu memperhatikan bahwa tidak semua pelaku harus melakukan perbuatan yang sama. Ada pelaku yang melakukan kekerasan lebih dominan, ada yang mengambil barang, ada yang membantu membawa barang, dan ada yang memperkuat tekanan terhadap korban. Selama perbuatan tersebut saling mendukung dan mengarah pada pencurian dengan kekerasan, maka masing-masing pelaku dapat dinilai memiliki peran dalam tindak pidana yang sama.</w:t>
      </w:r>
      <w:r>
        <w:rPr>
          <w:rStyle w:val="FootnoteReference"/>
        </w:rPr>
        <w:footnoteReference w:id="69"/>
      </w:r>
    </w:p>
    <w:p w14:paraId="29939815" w14:textId="77777777" w:rsidR="00C501DE" w:rsidRDefault="00D728E3">
      <w:pPr>
        <w:spacing w:line="480" w:lineRule="auto"/>
        <w:ind w:firstLine="709"/>
        <w:jc w:val="both"/>
      </w:pPr>
      <w:r>
        <w:t>Berdasarkan hasil wawancara dengan IPDA Ismail Har, S.H., pembagian peran pelaku ditentukan dari tindakan konkret yang dilakukan dalam seluruh rangkaian tindak pidana. Penyidik membedakan tindakan yang berkaitan dengan menghentikan atau memepet korban, melakukan kekerasan, mengambil barang, dan membantu menguasai atau memindahkan barang setelah kejadian. Penilaian tersebut kemudian dicocokkan dengan keterangan korban, saksi, para tersangka, dan barang bukti agar pertanggungjawaban setiap pelaku dapat ditempatkan secara proporsional.</w:t>
      </w:r>
      <w:r>
        <w:rPr>
          <w:rStyle w:val="FootnoteReference"/>
        </w:rPr>
        <w:footnoteReference w:id="70"/>
      </w:r>
    </w:p>
    <w:p w14:paraId="1E3E1F91" w14:textId="77777777" w:rsidR="00C501DE" w:rsidRDefault="00D728E3">
      <w:pPr>
        <w:spacing w:line="480" w:lineRule="auto"/>
        <w:ind w:firstLine="709"/>
        <w:jc w:val="both"/>
      </w:pPr>
      <w:r>
        <w:t xml:space="preserve">IPDA Ismail Har, S.H. menerangkan bahwa BAP menunjukkan adanya beberapa pelaku yang berhubungan langsung dengan kekerasan terhadap korban. Martin Harahap disebut memiliki peran menonjol dalam menarik atau menjatuhkan dan memukul korban, sedangkan Toni Leonardo Sitorus dan Febrin </w:t>
      </w:r>
      <w:r>
        <w:lastRenderedPageBreak/>
        <w:t>Siahaan juga diterangkan terlibat dalam pemukulan. Adapun kadar keterlibatan Teguh Firmansyah harus tetap ditentukan dari persesuaian seluruh alat bukti sehingga penilaian tidak semata-mata didasarkan pada keberadaannya bersama pelaku lain.</w:t>
      </w:r>
      <w:r>
        <w:rPr>
          <w:rStyle w:val="FootnoteReference"/>
        </w:rPr>
        <w:footnoteReference w:id="71"/>
      </w:r>
    </w:p>
    <w:p w14:paraId="504DD185" w14:textId="77777777" w:rsidR="00C501DE" w:rsidRDefault="00D728E3">
      <w:pPr>
        <w:spacing w:line="480" w:lineRule="auto"/>
        <w:ind w:firstLine="709"/>
        <w:jc w:val="both"/>
      </w:pPr>
      <w:r>
        <w:t>Dalam wawancara, IPDA Ismail Har, S.H. menjelaskan bahwa fakta BAP lebih jelas menunjukkan peran para pelaku sebagai pelaksana dalam satu rangkaian kejadian daripada pembagian formal sebagai perencana, pengawas, atau eksekutor. Tindakan memepet korban, melakukan kekerasan, mengambil barang, serta membantu penguasaan dan pemindahan barang menunjukkan kontribusi yang saling berhubungan. Untuk menyatakan seseorang sebagai perencana atau pengawas secara khusus, penyidik tetap membutuhkan bukti mengenai kesepakatan atau pembagian tugas sebelum peristiwa terjadi.</w:t>
      </w:r>
      <w:r>
        <w:rPr>
          <w:rStyle w:val="FootnoteReference"/>
        </w:rPr>
        <w:footnoteReference w:id="72"/>
      </w:r>
    </w:p>
    <w:p w14:paraId="546BBEF8" w14:textId="77777777" w:rsidR="00C501DE" w:rsidRDefault="00D728E3">
      <w:pPr>
        <w:spacing w:line="480" w:lineRule="auto"/>
        <w:ind w:firstLine="709"/>
        <w:jc w:val="both"/>
      </w:pPr>
      <w:r>
        <w:t>Menurut IPDA Ismail Har, S.H., kesadaran dan kehendak bersama dapat dinilai dari kesesuaian tindakan para pelaku pada waktu, tempat, dan tujuan yang sama. Para pelaku tidak harus melakukan perbuatan identik, sebab satu orang dapat melakukan kekerasan sementara orang lain mengambil atau membantu menguasai barang korban. Apabila masing-masing mengetahui arah perbuatan dan tetap melanjutkan tindakan yang saling mendukung, rangkaian tersebut dapat menjadi petunjuk adanya kerja sama sadar dalam konstruksi penyertaan.</w:t>
      </w:r>
      <w:r>
        <w:rPr>
          <w:rStyle w:val="FootnoteReference"/>
        </w:rPr>
        <w:footnoteReference w:id="73"/>
      </w:r>
    </w:p>
    <w:p w14:paraId="448A2043" w14:textId="77777777" w:rsidR="00C501DE" w:rsidRDefault="00D728E3">
      <w:pPr>
        <w:spacing w:line="480" w:lineRule="auto"/>
        <w:ind w:firstLine="709"/>
        <w:jc w:val="both"/>
      </w:pPr>
      <w:r>
        <w:t xml:space="preserve">IPDA Ismail Har, S.H. menilai bahwa keterangan korban, saksi, dan tersangka pada pokoknya perlu dibaca secara berlapis untuk menguraikan peran </w:t>
      </w:r>
      <w:r>
        <w:lastRenderedPageBreak/>
        <w:t>masing-masing pelaku. Keterangan korban menerangkan kekerasan dan barang yang hilang, keterangan Sanggam memperkuat rangkaian kejadian dari posisi orang yang berada bersama korban, sedangkan keterangan Lamsihar menerangkan keadaan korban setelah peristiwa. Keterangan para tersangka kemudian digunakan untuk menguji tindakan masing-masing dan perjalanan barang, sehingga perbedaan pada bagian tertentu dapat dinilai melalui bagian-bagian yang saling bersesuaian.</w:t>
      </w:r>
      <w:r>
        <w:rPr>
          <w:rStyle w:val="FootnoteReference"/>
        </w:rPr>
        <w:footnoteReference w:id="74"/>
      </w:r>
    </w:p>
    <w:p w14:paraId="020480F6" w14:textId="77777777" w:rsidR="005E6F2C" w:rsidRDefault="009C57C4">
      <w:pPr>
        <w:spacing w:line="480" w:lineRule="auto"/>
        <w:ind w:firstLine="709"/>
        <w:jc w:val="both"/>
      </w:pPr>
      <w:r>
        <w:t>Berdasarkan hasil wawancara dengan BRIPKA Pordinan H. Naeak, S.H. pada tanggal 2 Juni 2026, penyidik menjelaskan bahwa pembagian peran pelaku dalam perkara seperti ini dilihat dari kesesuaian antara keterangan korban, saksi, tersangka, dan barang bukti. Penyidik tidak hanya berpedoman pada pengakuan tersangka, tetapi juga membandingkan keterangan tersebut dengan fakta lain dalam BAP. Dengan cara tersebut, penyidik dapat menentukan siapa yang melakukan kekerasan, siapa yang mengambil barang, dan siapa yang membantu rangkaian perbuatan.</w:t>
      </w:r>
      <w:r>
        <w:rPr>
          <w:rStyle w:val="FootnoteReference"/>
        </w:rPr>
        <w:footnoteReference w:id="75"/>
      </w:r>
    </w:p>
    <w:p w14:paraId="01D40FF3" w14:textId="77777777" w:rsidR="005E6F2C" w:rsidRDefault="009C57C4">
      <w:pPr>
        <w:spacing w:line="480" w:lineRule="auto"/>
        <w:ind w:firstLine="709"/>
        <w:jc w:val="both"/>
      </w:pPr>
      <w:r>
        <w:t xml:space="preserve">Wawancara dengan penyidik juga menunjukkan bahwa dalam perkara pencurian dengan kekerasan secara bersama-sama, penyidik menilai adanya keterlibatan berdasarkan perbuatan nyata setiap orang. Apabila seseorang terbukti ikut memukul korban atau membantu penguasaan barang, maka orang tersebut tidak dapat dianggap hanya berada di lokasi kejadian. Penilaian ini penting agar </w:t>
      </w:r>
      <w:r>
        <w:lastRenderedPageBreak/>
        <w:t>pertanggungjawaban pidana tidak keliru antara saksi, pelaku utama, dan pelaku yang turut serta.</w:t>
      </w:r>
      <w:r>
        <w:rPr>
          <w:rStyle w:val="FootnoteReference"/>
        </w:rPr>
        <w:footnoteReference w:id="76"/>
      </w:r>
    </w:p>
    <w:p w14:paraId="3F7481B2" w14:textId="77777777" w:rsidR="005E6F2C" w:rsidRDefault="009C57C4">
      <w:pPr>
        <w:spacing w:line="480" w:lineRule="auto"/>
        <w:ind w:firstLine="709"/>
        <w:jc w:val="both"/>
      </w:pPr>
      <w:r>
        <w:t>Fakta dalam BAP memperlihatkan bahwa korban mengalami luka-luka setelah kejadian. Luka tersebut antara lain terdapat pada bagian wajah, kepala, telapak tangan, lutut, bibir, dan mata korban. Akibat fisik tersebut menjadi bukti bahwa peran para pelaku dalam melakukan kekerasan benar-benar menimbulkan dampak nyata bagi korban. Dengan adanya akibat tersebut, kekerasan dalam perkara ini tidak dapat dipandang ringan.</w:t>
      </w:r>
      <w:r>
        <w:rPr>
          <w:rStyle w:val="FootnoteReference"/>
        </w:rPr>
        <w:footnoteReference w:id="77"/>
      </w:r>
    </w:p>
    <w:p w14:paraId="73A05EC6" w14:textId="77777777" w:rsidR="005E6F2C" w:rsidRDefault="009C57C4">
      <w:pPr>
        <w:spacing w:line="480" w:lineRule="auto"/>
        <w:ind w:firstLine="709"/>
        <w:jc w:val="both"/>
      </w:pPr>
      <w:r>
        <w:t>Dalam konteks penyertaan, perbuatan para pelaku dapat dianalisis sebagai tindakan yang saling melengkapi. Martin disebut menarik dan memukul korban, Toni dan Febrin turut melakukan pemukulan, sementara pelaku lain ikut dalam rangkaian penguasaan barang. Perbuatan yang berbeda-beda tersebut membentuk satu kesatuan tindak pidana karena semuanya mengarah pada tujuan yang sama, yaitu menguasai barang milik korban.</w:t>
      </w:r>
      <w:r>
        <w:rPr>
          <w:rStyle w:val="FootnoteReference"/>
        </w:rPr>
        <w:footnoteReference w:id="78"/>
      </w:r>
    </w:p>
    <w:p w14:paraId="6A60D7AD" w14:textId="77777777" w:rsidR="005E6F2C" w:rsidRDefault="009C57C4">
      <w:pPr>
        <w:spacing w:line="480" w:lineRule="auto"/>
        <w:ind w:firstLine="709"/>
        <w:jc w:val="both"/>
      </w:pPr>
      <w:r>
        <w:t>BAP juga menunjukkan bahwa setelah kekerasan terjadi, korban berada dalam kondisi lemah dan tidak mampu mempertahankan barang miliknya. Keadaan ini menunjukkan bahwa kekerasan berfungsi sebagai sarana untuk mempermudah pengambilan barang. Dalam Pasal 365 KUHP, hubungan antara kekerasan dan pencurian merupakan bagian penting karena kekerasan tidak berdiri sendiri, tetapi menjadi cara untuk melakukan atau mempertahankan hasil pencurian.</w:t>
      </w:r>
      <w:r>
        <w:rPr>
          <w:rStyle w:val="FootnoteReference"/>
        </w:rPr>
        <w:footnoteReference w:id="79"/>
      </w:r>
    </w:p>
    <w:p w14:paraId="203EEA88" w14:textId="77777777" w:rsidR="005E6F2C" w:rsidRDefault="009C57C4">
      <w:pPr>
        <w:spacing w:line="480" w:lineRule="auto"/>
        <w:ind w:firstLine="709"/>
        <w:jc w:val="both"/>
      </w:pPr>
      <w:r>
        <w:lastRenderedPageBreak/>
        <w:t>Keterangan tersangka yang menyatakan bahwa perbuatan dilakukan karena mencurigai korban membawa alat pencurian tidak menghapus unsur kesalahan dalam perbuatan tersebut. Apabila para pelaku merasa curiga, tindakan yang seharusnya dilakukan adalah melapor kepada aparat atau mengamankan dengan cara yang sah, bukan melakukan kekerasan dan mengambil barang milik korban. Oleh sebab itu, alasan kecurigaan tidak dapat dijadikan pembenar terhadap perbuatan mengambil barang korban.</w:t>
      </w:r>
      <w:r>
        <w:rPr>
          <w:rStyle w:val="FootnoteReference"/>
        </w:rPr>
        <w:footnoteReference w:id="80"/>
      </w:r>
    </w:p>
    <w:p w14:paraId="28B81F5A" w14:textId="77777777" w:rsidR="005E6F2C" w:rsidRDefault="009C57C4">
      <w:pPr>
        <w:spacing w:line="480" w:lineRule="auto"/>
        <w:ind w:firstLine="709"/>
        <w:jc w:val="both"/>
      </w:pPr>
      <w:r>
        <w:t>Dalam pembahasan peran, penting juga dilihat bahwa korban menyebut para pelaku melakukan penganiayaan secara bersama-sama. Hal ini diperkuat oleh keterangan Sanggam yang melihat korban dipukul oleh beberapa orang, serta keterangan tersangka yang mengakui adanya tindakan bersama. Dengan demikian, peran pelaku tidak hanya dibuktikan dari satu sumber keterangan, tetapi dari beberapa keterangan yang saling mendukung.</w:t>
      </w:r>
      <w:r>
        <w:rPr>
          <w:rStyle w:val="FootnoteReference"/>
        </w:rPr>
        <w:footnoteReference w:id="81"/>
      </w:r>
    </w:p>
    <w:p w14:paraId="3A977F29" w14:textId="77777777" w:rsidR="005E6F2C" w:rsidRDefault="009C57C4">
      <w:pPr>
        <w:spacing w:line="480" w:lineRule="auto"/>
        <w:ind w:firstLine="709"/>
        <w:jc w:val="both"/>
      </w:pPr>
      <w:r>
        <w:t>Peran saksi dalam BAP sangat penting untuk memperjelas keterlibatan masing-masing pelaku. Korban memberikan keterangan mengenai apa yang dialami secara langsung, Sanggam menjelaskan kejadian dari sudut pandang orang yang bersama korban, Lamsihar menjelaskan keadaan korban setelah kejadian, sedangkan para tersangka memberikan keterangan tentang tindakan mereka masing-masing. Kombinasi keterangan tersebut membantu penyidik membangun uraian peran pelaku secara lebih lengkap.</w:t>
      </w:r>
      <w:r>
        <w:rPr>
          <w:rStyle w:val="FootnoteReference"/>
        </w:rPr>
        <w:footnoteReference w:id="82"/>
      </w:r>
    </w:p>
    <w:p w14:paraId="60F61BF6" w14:textId="77777777" w:rsidR="005E6F2C" w:rsidRDefault="009C57C4">
      <w:pPr>
        <w:spacing w:line="480" w:lineRule="auto"/>
        <w:ind w:firstLine="709"/>
        <w:jc w:val="both"/>
      </w:pPr>
      <w:r>
        <w:lastRenderedPageBreak/>
        <w:t>Dari sisi fakta empiris, keterlibatan para pelaku dapat dibagi menjadi beberapa bentuk, yaitu pelaku yang memulai tindakan pengejaran dan pemepetan, pelaku yang melakukan kekerasan fisik, pelaku yang mengambil barang, dan pelaku yang membantu penguasaan atau pemindahan barang setelah kejadian. Pembagian ini penting untuk menggambarkan bahwa tindak pidana dilakukan melalui rangkaian tindakan yang tidak berdiri sendiri.</w:t>
      </w:r>
      <w:r>
        <w:rPr>
          <w:rStyle w:val="FootnoteReference"/>
        </w:rPr>
        <w:footnoteReference w:id="83"/>
      </w:r>
    </w:p>
    <w:p w14:paraId="5C9BA4ED" w14:textId="77777777" w:rsidR="005E6F2C" w:rsidRDefault="009C57C4">
      <w:pPr>
        <w:spacing w:line="480" w:lineRule="auto"/>
        <w:ind w:firstLine="709"/>
        <w:jc w:val="both"/>
      </w:pPr>
      <w:r>
        <w:t>Meskipun kadar keterlibatan masing-masing pelaku dapat berbeda, seluruh perbuatan tersebut tetap berada dalam satu peristiwa pencurian dengan kekerasan. Oleh karena itu, penyidik dapat menempatkan mereka dalam konstruksi perbuatan bersama sepanjang unsur hubungan kerja sama dan kontribusi perbuatan dapat dibuktikan.</w:t>
      </w:r>
      <w:r>
        <w:rPr>
          <w:rStyle w:val="FootnoteReference"/>
        </w:rPr>
        <w:footnoteReference w:id="84"/>
      </w:r>
    </w:p>
    <w:p w14:paraId="5A12FBE7" w14:textId="77777777" w:rsidR="005E6F2C" w:rsidRDefault="009C57C4">
      <w:pPr>
        <w:spacing w:line="480" w:lineRule="auto"/>
        <w:ind w:firstLine="709"/>
        <w:jc w:val="both"/>
      </w:pPr>
      <w:r>
        <w:t>Berdasarkan hasil wawancara dengan penyidik, kendala yang sering muncul dalam menguraikan peran pelaku adalah adanya perbedaan keterangan antara korban, saksi, dan tersangka. Dalam perkara ini, sebagian pelaku dapat mengakui perbuatannya, tetapi juga dapat memberikan alasan tertentu untuk mengurangi kesalahannya. Oleh sebab itu, penyidik perlu membandingkan setiap keterangan dengan barang bukti dan keterangan saksi lain agar peran masing-masing pelaku dapat digambarkan secara objektif.</w:t>
      </w:r>
      <w:r>
        <w:rPr>
          <w:rStyle w:val="FootnoteReference"/>
        </w:rPr>
        <w:footnoteReference w:id="85"/>
      </w:r>
    </w:p>
    <w:p w14:paraId="2556A4A9" w14:textId="77777777" w:rsidR="005E6F2C" w:rsidRDefault="009C57C4">
      <w:pPr>
        <w:spacing w:line="480" w:lineRule="auto"/>
        <w:ind w:firstLine="709"/>
        <w:jc w:val="both"/>
      </w:pPr>
      <w:r>
        <w:t xml:space="preserve">Dalam BAP, barang bukti berupa sepeda motor dan handphone memiliki arti penting untuk menghubungkan peran pelaku dengan objek pencurian. Barang-barang tersebut bukan hanya menunjukkan bahwa terdapat kerugian korban, tetapi </w:t>
      </w:r>
      <w:r>
        <w:lastRenderedPageBreak/>
        <w:t>juga membantu menjelaskan siapa yang menguasai, memindahkan, atau menyerahkan barang setelah kejadian. Dengan demikian, barang bukti memperkuat uraian mengenai keterlibatan para pelaku dalam peristiwa pidana.</w:t>
      </w:r>
      <w:r>
        <w:rPr>
          <w:rStyle w:val="FootnoteReference"/>
        </w:rPr>
        <w:footnoteReference w:id="86"/>
      </w:r>
      <w:r>
        <w:t xml:space="preserve"> </w:t>
      </w:r>
    </w:p>
    <w:p w14:paraId="07F7B5C6" w14:textId="77777777" w:rsidR="005E6F2C" w:rsidRDefault="009C57C4">
      <w:pPr>
        <w:spacing w:line="480" w:lineRule="auto"/>
        <w:ind w:firstLine="709"/>
        <w:jc w:val="both"/>
      </w:pPr>
      <w:r>
        <w:t>Dalam menguraikan peran masing-masing pelaku, penyidik harus menempatkan setiap tindakan dalam rangkaian peristiwa pidana secara utuh. Peran pelaku tidak boleh hanya dilihat dari tindakan tunggal, tetapi harus dikaitkan dengan akibat yang ditimbulkan terhadap korban dan barang milik korban. Dengan cara tersebut, dapat diketahui apakah seorang pelaku hanya hadir di lokasi atau benar-benar memiliki kontribusi dalam pencurian dengan kekerasan.</w:t>
      </w:r>
      <w:r>
        <w:rPr>
          <w:rStyle w:val="FootnoteReference"/>
        </w:rPr>
        <w:footnoteReference w:id="87"/>
      </w:r>
    </w:p>
    <w:p w14:paraId="45052041" w14:textId="77777777" w:rsidR="005E6F2C" w:rsidRDefault="009C57C4">
      <w:pPr>
        <w:spacing w:line="480" w:lineRule="auto"/>
        <w:ind w:firstLine="709"/>
        <w:jc w:val="both"/>
      </w:pPr>
      <w:r>
        <w:t>Peran pelaku yang melakukan kekerasan terhadap korban memiliki kedudukan penting karena kekerasan merupakan unsur pembeda dalam Pasal 365 KUHP. Pelaku yang memukul, menarik, menjatuhkan, atau mengancam korban tidak hanya melakukan tindakan fisik, tetapi juga membantu menciptakan keadaan agar korban tidak mampu mempertahankan barangnya. Oleh karena itu, tindakan kekerasan tersebut harus dipandang sebagai bagian dari pelaksanaan tindak pidana, bukan sebagai perbuatan yang terpisah.</w:t>
      </w:r>
      <w:r>
        <w:rPr>
          <w:rStyle w:val="FootnoteReference"/>
        </w:rPr>
        <w:footnoteReference w:id="88"/>
      </w:r>
    </w:p>
    <w:p w14:paraId="70B347B6" w14:textId="77777777" w:rsidR="005E6F2C" w:rsidRDefault="009C57C4">
      <w:pPr>
        <w:spacing w:line="480" w:lineRule="auto"/>
        <w:ind w:firstLine="709"/>
        <w:jc w:val="both"/>
      </w:pPr>
      <w:r>
        <w:t xml:space="preserve">Pelaku yang mengambil atau menguasai barang korban juga memiliki peran langsung dalam pemenuhan unsur pencurian. Walaupun ia tidak melakukan kekerasan secara fisik, tindakan mengambil barang setelah korban dibuat tidak berdaya tetap menunjukkan hubungan dengan kejahatan utama. Dalam konteks </w:t>
      </w:r>
      <w:r>
        <w:lastRenderedPageBreak/>
        <w:t>penyertaan, peran demikian dapat tetap dipertanggungjawabkan apabila pelaku mengetahui dan menghendaki rangkaian perbuatan bersama tersebut.</w:t>
      </w:r>
      <w:r>
        <w:rPr>
          <w:rStyle w:val="FootnoteReference"/>
        </w:rPr>
        <w:footnoteReference w:id="89"/>
      </w:r>
    </w:p>
    <w:p w14:paraId="28D2F2C0" w14:textId="77777777" w:rsidR="005E6F2C" w:rsidRDefault="009C57C4">
      <w:pPr>
        <w:spacing w:line="480" w:lineRule="auto"/>
        <w:ind w:firstLine="709"/>
        <w:jc w:val="both"/>
      </w:pPr>
      <w:r>
        <w:t>Pelaku yang membantu menghalangi korban, menjaga situasi, atau mempermudah pelaku lain juga perlu dianalisis secara cermat. Bantuan tersebut dapat menjadi bagian dari turut serta apabila dilakukan dalam pelaksanaan inti tindak pidana, atau dapat dipandang sebagai pembantuan apabila sifatnya hanya mempermudah terjadinya perbuatan. Oleh sebab itu, uraian peran dalam BAP harus jelas agar tidak terjadi kekeliruan dalam menentukan kedudukan hukum masing-masing pelaku.</w:t>
      </w:r>
      <w:r>
        <w:rPr>
          <w:rStyle w:val="FootnoteReference"/>
        </w:rPr>
        <w:footnoteReference w:id="90"/>
      </w:r>
    </w:p>
    <w:p w14:paraId="3FB77D4D" w14:textId="77777777" w:rsidR="005E6F2C" w:rsidRDefault="009C57C4">
      <w:pPr>
        <w:spacing w:line="480" w:lineRule="auto"/>
        <w:ind w:firstLine="709"/>
        <w:jc w:val="both"/>
      </w:pPr>
      <w:r>
        <w:t>Dalam perkara yang dilakukan secara bersama-sama, adanya pembagian peran tidak harus selalu dibuktikan melalui kesepakatan tertulis atau rencana yang panjang. Kerja sama dapat disimpulkan dari tindakan para pelaku yang saling mendukung pada saat kejadian. Apabila satu pelaku melakukan kekerasan dan pelaku lain mengambil barang dalam waktu dan tempat yang sama, maka rangkaian tindakan tersebut dapat menunjukkan adanya kesadaran bersama.</w:t>
      </w:r>
      <w:r>
        <w:rPr>
          <w:rStyle w:val="FootnoteReference"/>
        </w:rPr>
        <w:footnoteReference w:id="91"/>
      </w:r>
    </w:p>
    <w:p w14:paraId="7D4ECCBC" w14:textId="77777777" w:rsidR="005E6F2C" w:rsidRDefault="009C57C4">
      <w:pPr>
        <w:spacing w:line="480" w:lineRule="auto"/>
        <w:ind w:firstLine="709"/>
        <w:jc w:val="both"/>
      </w:pPr>
      <w:r>
        <w:t xml:space="preserve">Perbedaan peran juga berpengaruh terhadap cara penyidik menyusun pertanyaan dalam pemeriksaan. Terhadap pelaku yang diduga melakukan kekerasan, penyidik perlu menggali bentuk tindakan fisik dan akibatnya terhadap korban. Terhadap pelaku yang menguasai barang, penyidik perlu menelusuri kapan barang berpindah, ke mana barang dibawa, dan siapa yang menguasainya </w:t>
      </w:r>
      <w:r>
        <w:lastRenderedPageBreak/>
        <w:t>setelah kejadian. Pemeriksaan yang terarah akan membuat BAP lebih kuat untuk menjelaskan keterlibatan masing-masing pelaku.</w:t>
      </w:r>
      <w:r>
        <w:rPr>
          <w:rStyle w:val="FootnoteReference"/>
        </w:rPr>
        <w:footnoteReference w:id="92"/>
      </w:r>
    </w:p>
    <w:p w14:paraId="5311395D" w14:textId="77777777" w:rsidR="005E6F2C" w:rsidRDefault="009C57C4">
      <w:pPr>
        <w:spacing w:line="480" w:lineRule="auto"/>
        <w:ind w:firstLine="709"/>
        <w:jc w:val="both"/>
      </w:pPr>
      <w:r>
        <w:t>Keterangan korban dan saksi berfungsi untuk memetakan peran para pelaku dari sudut pandang orang yang mengalami atau mengetahui peristiwa. Namun, keterangan tersebut harus tetap dibandingkan dengan keterangan tersangka dan barang bukti. Perbandingan ini diperlukan karena dalam tindak pidana berkelompok sering terjadi perbedaan versi mengenai siapa yang memukul, siapa yang mengambil, dan siapa yang membawa barang hasil kejahatan.</w:t>
      </w:r>
      <w:r>
        <w:rPr>
          <w:rStyle w:val="FootnoteReference"/>
        </w:rPr>
        <w:footnoteReference w:id="93"/>
      </w:r>
    </w:p>
    <w:p w14:paraId="56D2825F" w14:textId="77777777" w:rsidR="005E6F2C" w:rsidRDefault="009C57C4">
      <w:pPr>
        <w:spacing w:line="480" w:lineRule="auto"/>
        <w:ind w:firstLine="709"/>
        <w:jc w:val="both"/>
      </w:pPr>
      <w:r>
        <w:t>Barang bukti juga dapat memperjelas bentuk keterlibatan masing-masing pelaku. Apabila barang hasil pencurian ditemukan pada salah satu pelaku, maka hal tersebut dapat menjadi petunjuk mengenai penguasaan barang. Apabila terdapat benda yang digunakan untuk mengancam atau melukai korban, maka barang tersebut dapat memperkuat peran pelaku yang melakukan kekerasan. Dengan demikian, barang bukti membantu menghubungkan peran pelaku dengan unsur Pasal 365 KUHP.</w:t>
      </w:r>
      <w:r>
        <w:rPr>
          <w:rStyle w:val="FootnoteReference"/>
        </w:rPr>
        <w:footnoteReference w:id="94"/>
      </w:r>
    </w:p>
    <w:p w14:paraId="64E04B54" w14:textId="77777777" w:rsidR="005E6F2C" w:rsidRDefault="009C57C4">
      <w:pPr>
        <w:spacing w:line="480" w:lineRule="auto"/>
        <w:ind w:firstLine="709"/>
        <w:jc w:val="both"/>
      </w:pPr>
      <w:r>
        <w:t xml:space="preserve">Dalam menilai keterlibatan pelaku, penyidik juga harus berhati-hati agar tidak menyamaratakan tanggung jawab semua orang. Setiap orang yang berada dalam peristiwa pidana harus diuraikan perbuatannya masing-masing. Prinsip ini </w:t>
      </w:r>
      <w:r>
        <w:lastRenderedPageBreak/>
        <w:t>penting karena pertanggungjawaban pidana tetap mensyaratkan adanya kesalahan pribadi, meskipun tindak pidana dilakukan secara bersama-sama.</w:t>
      </w:r>
      <w:r>
        <w:rPr>
          <w:rStyle w:val="FootnoteReference"/>
        </w:rPr>
        <w:footnoteReference w:id="95"/>
      </w:r>
    </w:p>
    <w:p w14:paraId="0BB6C709" w14:textId="77777777" w:rsidR="005E6F2C" w:rsidRDefault="009C57C4">
      <w:pPr>
        <w:spacing w:line="480" w:lineRule="auto"/>
        <w:ind w:firstLine="709"/>
        <w:jc w:val="both"/>
      </w:pPr>
      <w:r>
        <w:t>Dengan demikian, peran dan bentuk keterlibatan para pelaku dalam perkara pencurian dengan kekerasan harus dibuktikan melalui hubungan antara tindakan, alat bukti, dan unsur pasal yang diterapkan. Pelaku yang melakukan kekerasan, mengambil barang, menguasai barang, atau membantu rangkaian perbuatan dapat dimintai pertanggungjawaban apabila perannya terbukti secara konkret. Oleh karena itu, BAP harus menampilkan uraian peran yang rinci agar konstruksi penyertaan tidak kabur.</w:t>
      </w:r>
      <w:r>
        <w:rPr>
          <w:rStyle w:val="FootnoteReference"/>
        </w:rPr>
        <w:footnoteReference w:id="96"/>
      </w:r>
    </w:p>
    <w:p w14:paraId="7DFE5EDC" w14:textId="77777777" w:rsidR="005E6F2C" w:rsidRDefault="009C57C4">
      <w:pPr>
        <w:spacing w:line="480" w:lineRule="auto"/>
        <w:ind w:firstLine="709"/>
        <w:jc w:val="both"/>
      </w:pPr>
      <w:r>
        <w:t>Berdasarkan uraian tersebut, dapat dipahami bahwa peran masing-masing pelaku dalam perkara ini tidak berdiri sendiri, melainkan membentuk satu rangkaian tindak pidana. Kekerasan yang dilakukan oleh beberapa pelaku membuat korban tidak berdaya, sedangkan pengambilan barang menunjukkan adanya tujuan untuk menguasai harta benda korban. Dengan demikian, fakta empiris dalam BAP mendukung bahwa tindak pidana pencurian dengan kekerasan dilakukan secara bersama-sama.</w:t>
      </w:r>
    </w:p>
    <w:p w14:paraId="27F1C087" w14:textId="77777777" w:rsidR="005E6F2C" w:rsidRPr="00481D99" w:rsidRDefault="009C57C4">
      <w:pPr>
        <w:pStyle w:val="Heading2"/>
        <w:ind w:left="709" w:hanging="709"/>
        <w:jc w:val="both"/>
        <w:rPr>
          <w:b w:val="0"/>
          <w:bCs w:val="0"/>
        </w:rPr>
      </w:pPr>
      <w:bookmarkStart w:id="5" w:name="_Toc232117616"/>
      <w:r w:rsidRPr="00481D99">
        <w:rPr>
          <w:rStyle w:val="Strong"/>
          <w:b/>
          <w:bCs/>
        </w:rPr>
        <w:t xml:space="preserve">C. </w:t>
      </w:r>
      <w:r w:rsidRPr="00481D99">
        <w:rPr>
          <w:rStyle w:val="Strong"/>
          <w:b/>
          <w:bCs/>
        </w:rPr>
        <w:tab/>
      </w:r>
      <w:proofErr w:type="spellStart"/>
      <w:r w:rsidRPr="00481D99">
        <w:rPr>
          <w:rStyle w:val="Strong"/>
          <w:b/>
          <w:bCs/>
        </w:rPr>
        <w:t>Kesesuaian</w:t>
      </w:r>
      <w:proofErr w:type="spellEnd"/>
      <w:r w:rsidRPr="00481D99">
        <w:rPr>
          <w:rStyle w:val="Strong"/>
          <w:b/>
          <w:bCs/>
        </w:rPr>
        <w:t xml:space="preserve"> </w:t>
      </w:r>
      <w:proofErr w:type="spellStart"/>
      <w:r w:rsidRPr="00481D99">
        <w:rPr>
          <w:rStyle w:val="Strong"/>
          <w:b/>
          <w:bCs/>
        </w:rPr>
        <w:t>antara</w:t>
      </w:r>
      <w:proofErr w:type="spellEnd"/>
      <w:r w:rsidRPr="00481D99">
        <w:rPr>
          <w:rStyle w:val="Strong"/>
          <w:b/>
          <w:bCs/>
        </w:rPr>
        <w:t xml:space="preserve"> </w:t>
      </w:r>
      <w:proofErr w:type="spellStart"/>
      <w:r w:rsidRPr="00481D99">
        <w:rPr>
          <w:rStyle w:val="Strong"/>
          <w:b/>
          <w:bCs/>
        </w:rPr>
        <w:t>Fakta-Fakta</w:t>
      </w:r>
      <w:proofErr w:type="spellEnd"/>
      <w:r w:rsidRPr="00481D99">
        <w:rPr>
          <w:rStyle w:val="Strong"/>
          <w:b/>
          <w:bCs/>
        </w:rPr>
        <w:t xml:space="preserve"> yang </w:t>
      </w:r>
      <w:proofErr w:type="spellStart"/>
      <w:r w:rsidRPr="00481D99">
        <w:rPr>
          <w:rStyle w:val="Strong"/>
          <w:b/>
          <w:bCs/>
        </w:rPr>
        <w:t>Terungkap</w:t>
      </w:r>
      <w:proofErr w:type="spellEnd"/>
      <w:r w:rsidRPr="00481D99">
        <w:rPr>
          <w:rStyle w:val="Strong"/>
          <w:b/>
          <w:bCs/>
        </w:rPr>
        <w:t xml:space="preserve"> </w:t>
      </w:r>
      <w:proofErr w:type="spellStart"/>
      <w:r w:rsidRPr="00481D99">
        <w:rPr>
          <w:rStyle w:val="Strong"/>
          <w:b/>
          <w:bCs/>
        </w:rPr>
        <w:t>dalam</w:t>
      </w:r>
      <w:proofErr w:type="spellEnd"/>
      <w:r w:rsidRPr="00481D99">
        <w:rPr>
          <w:rStyle w:val="Strong"/>
          <w:b/>
          <w:bCs/>
        </w:rPr>
        <w:t xml:space="preserve"> BAP </w:t>
      </w:r>
      <w:proofErr w:type="spellStart"/>
      <w:r w:rsidRPr="00481D99">
        <w:rPr>
          <w:rStyle w:val="Strong"/>
          <w:b/>
          <w:bCs/>
        </w:rPr>
        <w:t>dengan</w:t>
      </w:r>
      <w:proofErr w:type="spellEnd"/>
      <w:r w:rsidRPr="00481D99">
        <w:rPr>
          <w:rStyle w:val="Strong"/>
          <w:b/>
          <w:bCs/>
        </w:rPr>
        <w:t xml:space="preserve"> </w:t>
      </w:r>
      <w:proofErr w:type="spellStart"/>
      <w:r w:rsidRPr="00481D99">
        <w:rPr>
          <w:rStyle w:val="Strong"/>
          <w:b/>
          <w:bCs/>
        </w:rPr>
        <w:t>Ketentuan</w:t>
      </w:r>
      <w:proofErr w:type="spellEnd"/>
      <w:r w:rsidRPr="00481D99">
        <w:rPr>
          <w:rStyle w:val="Strong"/>
          <w:b/>
          <w:bCs/>
        </w:rPr>
        <w:t xml:space="preserve"> </w:t>
      </w:r>
      <w:proofErr w:type="spellStart"/>
      <w:r w:rsidRPr="00481D99">
        <w:rPr>
          <w:rStyle w:val="Strong"/>
          <w:b/>
          <w:bCs/>
        </w:rPr>
        <w:t>Hukum</w:t>
      </w:r>
      <w:proofErr w:type="spellEnd"/>
      <w:r w:rsidRPr="00481D99">
        <w:rPr>
          <w:rStyle w:val="Strong"/>
          <w:b/>
          <w:bCs/>
        </w:rPr>
        <w:t xml:space="preserve"> </w:t>
      </w:r>
      <w:proofErr w:type="spellStart"/>
      <w:r w:rsidRPr="00481D99">
        <w:rPr>
          <w:rStyle w:val="Strong"/>
          <w:b/>
          <w:bCs/>
        </w:rPr>
        <w:t>Pidana</w:t>
      </w:r>
      <w:proofErr w:type="spellEnd"/>
      <w:r w:rsidRPr="00481D99">
        <w:rPr>
          <w:rStyle w:val="Strong"/>
          <w:b/>
          <w:bCs/>
        </w:rPr>
        <w:t xml:space="preserve"> </w:t>
      </w:r>
      <w:proofErr w:type="spellStart"/>
      <w:r w:rsidRPr="00481D99">
        <w:rPr>
          <w:rStyle w:val="Strong"/>
          <w:b/>
          <w:bCs/>
        </w:rPr>
        <w:t>terkait</w:t>
      </w:r>
      <w:proofErr w:type="spellEnd"/>
      <w:r w:rsidRPr="00481D99">
        <w:rPr>
          <w:rStyle w:val="Strong"/>
          <w:b/>
          <w:bCs/>
        </w:rPr>
        <w:t xml:space="preserve"> </w:t>
      </w:r>
      <w:proofErr w:type="spellStart"/>
      <w:r w:rsidRPr="00481D99">
        <w:rPr>
          <w:rStyle w:val="Strong"/>
          <w:b/>
          <w:bCs/>
        </w:rPr>
        <w:t>Pertanggungjawaban</w:t>
      </w:r>
      <w:proofErr w:type="spellEnd"/>
      <w:r w:rsidRPr="00481D99">
        <w:rPr>
          <w:rStyle w:val="Strong"/>
          <w:b/>
          <w:bCs/>
        </w:rPr>
        <w:t xml:space="preserve"> </w:t>
      </w:r>
      <w:proofErr w:type="spellStart"/>
      <w:r w:rsidRPr="00481D99">
        <w:rPr>
          <w:rStyle w:val="Strong"/>
          <w:b/>
          <w:bCs/>
        </w:rPr>
        <w:t>Pidana</w:t>
      </w:r>
      <w:proofErr w:type="spellEnd"/>
      <w:r w:rsidRPr="00481D99">
        <w:rPr>
          <w:rStyle w:val="Strong"/>
          <w:b/>
          <w:bCs/>
        </w:rPr>
        <w:t xml:space="preserve"> </w:t>
      </w:r>
      <w:proofErr w:type="spellStart"/>
      <w:r w:rsidRPr="00481D99">
        <w:rPr>
          <w:rStyle w:val="Strong"/>
          <w:b/>
          <w:bCs/>
        </w:rPr>
        <w:t>Pelaku</w:t>
      </w:r>
      <w:proofErr w:type="spellEnd"/>
      <w:r w:rsidRPr="00481D99">
        <w:rPr>
          <w:rStyle w:val="Strong"/>
          <w:b/>
          <w:bCs/>
        </w:rPr>
        <w:t xml:space="preserve"> </w:t>
      </w:r>
      <w:proofErr w:type="spellStart"/>
      <w:r w:rsidRPr="00481D99">
        <w:rPr>
          <w:rStyle w:val="Strong"/>
          <w:b/>
          <w:bCs/>
        </w:rPr>
        <w:t>Pencurian</w:t>
      </w:r>
      <w:proofErr w:type="spellEnd"/>
      <w:r w:rsidRPr="00481D99">
        <w:rPr>
          <w:rStyle w:val="Strong"/>
          <w:b/>
          <w:bCs/>
        </w:rPr>
        <w:t xml:space="preserve"> </w:t>
      </w:r>
      <w:proofErr w:type="spellStart"/>
      <w:r w:rsidRPr="00481D99">
        <w:rPr>
          <w:rStyle w:val="Strong"/>
          <w:b/>
          <w:bCs/>
        </w:rPr>
        <w:t>dengan</w:t>
      </w:r>
      <w:proofErr w:type="spellEnd"/>
      <w:r w:rsidRPr="00481D99">
        <w:rPr>
          <w:rStyle w:val="Strong"/>
          <w:b/>
          <w:bCs/>
        </w:rPr>
        <w:t xml:space="preserve"> </w:t>
      </w:r>
      <w:proofErr w:type="spellStart"/>
      <w:r w:rsidRPr="00481D99">
        <w:rPr>
          <w:rStyle w:val="Strong"/>
          <w:b/>
          <w:bCs/>
        </w:rPr>
        <w:t>Kekerasan</w:t>
      </w:r>
      <w:proofErr w:type="spellEnd"/>
      <w:r w:rsidRPr="00481D99">
        <w:rPr>
          <w:rStyle w:val="Strong"/>
          <w:b/>
          <w:bCs/>
        </w:rPr>
        <w:t xml:space="preserve"> </w:t>
      </w:r>
      <w:proofErr w:type="spellStart"/>
      <w:r w:rsidRPr="00481D99">
        <w:rPr>
          <w:rStyle w:val="Strong"/>
          <w:b/>
          <w:bCs/>
        </w:rPr>
        <w:t>secara</w:t>
      </w:r>
      <w:proofErr w:type="spellEnd"/>
      <w:r w:rsidRPr="00481D99">
        <w:rPr>
          <w:rStyle w:val="Strong"/>
          <w:b/>
          <w:bCs/>
        </w:rPr>
        <w:t xml:space="preserve"> </w:t>
      </w:r>
      <w:proofErr w:type="spellStart"/>
      <w:r w:rsidRPr="00481D99">
        <w:rPr>
          <w:rStyle w:val="Strong"/>
          <w:b/>
          <w:bCs/>
        </w:rPr>
        <w:t>Bersama-Sama</w:t>
      </w:r>
      <w:proofErr w:type="spellEnd"/>
      <w:r w:rsidRPr="00481D99">
        <w:rPr>
          <w:rStyle w:val="Strong"/>
          <w:b/>
          <w:bCs/>
        </w:rPr>
        <w:t xml:space="preserve"> </w:t>
      </w:r>
      <w:proofErr w:type="spellStart"/>
      <w:r w:rsidRPr="00481D99">
        <w:rPr>
          <w:rStyle w:val="Strong"/>
          <w:b/>
          <w:bCs/>
        </w:rPr>
        <w:t>Menurut</w:t>
      </w:r>
      <w:proofErr w:type="spellEnd"/>
      <w:r w:rsidRPr="00481D99">
        <w:rPr>
          <w:rStyle w:val="Strong"/>
          <w:b/>
          <w:bCs/>
        </w:rPr>
        <w:t xml:space="preserve"> </w:t>
      </w:r>
      <w:proofErr w:type="spellStart"/>
      <w:r w:rsidRPr="00481D99">
        <w:rPr>
          <w:rStyle w:val="Strong"/>
          <w:b/>
          <w:bCs/>
        </w:rPr>
        <w:t>Pasal</w:t>
      </w:r>
      <w:proofErr w:type="spellEnd"/>
      <w:r w:rsidRPr="00481D99">
        <w:rPr>
          <w:rStyle w:val="Strong"/>
          <w:b/>
          <w:bCs/>
        </w:rPr>
        <w:t xml:space="preserve"> 365 KUHP</w:t>
      </w:r>
      <w:bookmarkEnd w:id="5"/>
    </w:p>
    <w:p w14:paraId="0073CD78" w14:textId="77777777" w:rsidR="005E6F2C" w:rsidRDefault="009C57C4">
      <w:pPr>
        <w:spacing w:line="480" w:lineRule="auto"/>
        <w:ind w:firstLine="709"/>
        <w:jc w:val="both"/>
      </w:pPr>
      <w:r>
        <w:t xml:space="preserve">Pertanggungjawaban pidana dalam perkara pencurian dengan kekerasan tidak hanya dilihat dari adanya perbuatan mengambil barang, tetapi juga harus </w:t>
      </w:r>
      <w:r>
        <w:lastRenderedPageBreak/>
        <w:t>dilihat dari terpenuhinya unsur kesalahan, kemampuan bertanggung jawab, serta hubungan antara perbuatan pelaku dengan akibat yang ditimbulkan. Dalam perkara ini, fakta-fakta yang tercantum dalam BAP menunjukkan adanya rangkaian perbuatan yang dilakukan oleh beberapa orang terhadap korban Jhon Crist Purba, mulai dari tindakan mengejar, memepet, menarik, memukul, hingga mengambil barang milik korban. Rangkaian perbuatan tersebut menjadi dasar untuk menilai apakah para pelaku dapat dimintai pertanggungjawaban pidana berdasarkan Pasal 365 KUHP.</w:t>
      </w:r>
      <w:r>
        <w:rPr>
          <w:rStyle w:val="FootnoteReference"/>
        </w:rPr>
        <w:footnoteReference w:id="97"/>
      </w:r>
    </w:p>
    <w:p w14:paraId="759E2093" w14:textId="77777777" w:rsidR="005E6F2C" w:rsidRDefault="009C57C4">
      <w:pPr>
        <w:spacing w:line="480" w:lineRule="auto"/>
        <w:ind w:firstLine="709"/>
        <w:jc w:val="both"/>
      </w:pPr>
      <w:r>
        <w:t>Pasal 365 KUHP mengatur pencurian yang didahului, disertai, atau diikuti dengan kekerasan atau ancaman kekerasan terhadap orang. Dalam perkara ini, fakta BAP menunjukkan bahwa kekerasan terjadi sebelum dan pada saat barang milik korban diambil. Korban menerangkan bahwa dirinya dipukul dan dianiaya oleh beberapa pelaku sebelum sepeda motor, handphone, dan uang miliknya hilang. Fakta tersebut menunjukkan adanya hubungan antara kekerasan dengan pencurian, sehingga penerapan Pasal 365 KUHP memiliki dasar faktual yang kuat.</w:t>
      </w:r>
      <w:r>
        <w:rPr>
          <w:rStyle w:val="FootnoteReference"/>
        </w:rPr>
        <w:footnoteReference w:id="98"/>
      </w:r>
    </w:p>
    <w:p w14:paraId="4E549925" w14:textId="77777777" w:rsidR="005E6F2C" w:rsidRDefault="009C57C4">
      <w:pPr>
        <w:spacing w:line="480" w:lineRule="auto"/>
        <w:ind w:firstLine="709"/>
        <w:jc w:val="both"/>
      </w:pPr>
      <w:r>
        <w:t xml:space="preserve">Unsur pertama yang harus diperhatikan adalah adanya perbuatan mengambil barang milik orang lain. Dalam BAP, korban menyebutkan bahwa barang yang hilang adalah satu unit sepeda motor Honda Beat BK 3998 NAW warna silver, satu unit handphone Oppo Reno 6 warna hitam, dan uang tunai. Barang-barang tersebut sebelumnya berada dalam penguasaan korban, lalu setelah kejadian berpindah dan dikuasai oleh para pelaku. Dengan demikian, fakta ini </w:t>
      </w:r>
      <w:r>
        <w:lastRenderedPageBreak/>
        <w:t>telah menunjukkan adanya perbuatan mengambil barang milik orang lain secara melawan hukum.</w:t>
      </w:r>
      <w:r>
        <w:rPr>
          <w:rStyle w:val="FootnoteReference"/>
        </w:rPr>
        <w:footnoteReference w:id="99"/>
      </w:r>
    </w:p>
    <w:p w14:paraId="1E83FB7B" w14:textId="77777777" w:rsidR="005E6F2C" w:rsidRDefault="009C57C4">
      <w:pPr>
        <w:spacing w:line="480" w:lineRule="auto"/>
        <w:ind w:firstLine="709"/>
        <w:jc w:val="both"/>
      </w:pPr>
      <w:r>
        <w:t>Kesesuaian antara fakta BAP dan unsur “barang milik orang lain” terlihat dari keterangan korban dan saksi yang saling mendukung. Korban menerangkan bahwa sepeda motor dan handphone tersebut adalah miliknya, sedangkan saksi Lamsihar Br Lubis juga mengenali barang yang diperlihatkan oleh pemeriksa sebagai barang milik korban. Keadaan ini memperkuat bahwa objek yang diambil bukan milik pelaku, melainkan milik korban yang berada dalam penguasaan sah korban sebelum tindak pidana terjadi.</w:t>
      </w:r>
      <w:r>
        <w:rPr>
          <w:rStyle w:val="FootnoteReference"/>
        </w:rPr>
        <w:footnoteReference w:id="100"/>
      </w:r>
    </w:p>
    <w:p w14:paraId="48536BC2" w14:textId="77777777" w:rsidR="005E6F2C" w:rsidRDefault="009C57C4">
      <w:pPr>
        <w:spacing w:line="480" w:lineRule="auto"/>
        <w:ind w:firstLine="709"/>
        <w:jc w:val="both"/>
      </w:pPr>
      <w:r>
        <w:t>Unsur berikutnya adalah maksud untuk memiliki secara melawan hukum. Dalam perkara ini, maksud tersebut dapat dilihat dari tindakan para pelaku yang tidak hanya melakukan kekerasan, tetapi juga membawa dan menguasai barang korban setelah korban tidak berdaya. Salah satu keterangan dalam BAP menunjukkan bahwa sepeda motor korban dibawa setelah kejadian, sedangkan handphone korban juga sempat dikuasai dan dibawa untuk dibuka kata sandinya. Perbuatan ini memperlihatkan adanya kehendak untuk menguasai barang korban secara tidak sah.</w:t>
      </w:r>
      <w:r>
        <w:rPr>
          <w:rStyle w:val="FootnoteReference"/>
        </w:rPr>
        <w:footnoteReference w:id="101"/>
      </w:r>
      <w:r>
        <w:t xml:space="preserve"> </w:t>
      </w:r>
    </w:p>
    <w:p w14:paraId="4359D5A8" w14:textId="77777777" w:rsidR="005E6F2C" w:rsidRDefault="009C57C4">
      <w:pPr>
        <w:spacing w:line="480" w:lineRule="auto"/>
        <w:ind w:firstLine="709"/>
        <w:jc w:val="both"/>
      </w:pPr>
      <w:r>
        <w:t>Fakta bahwa barang korban tidak dikembalikan secara sukarela kepada korban juga memperkuat adanya maksud memiliki secara melawan hukum. Apabila pengambilan barang hanya bersifat sementara atau tanpa niat menguasai, semestinya pelaku segera mengembalikannya kepada korban.</w:t>
      </w:r>
      <w:r>
        <w:rPr>
          <w:rStyle w:val="FootnoteReference"/>
        </w:rPr>
        <w:footnoteReference w:id="102"/>
      </w:r>
      <w:r>
        <w:t xml:space="preserve"> Namun dalam </w:t>
      </w:r>
      <w:r>
        <w:lastRenderedPageBreak/>
        <w:t xml:space="preserve">BAP, barang korban justru berpindah ke tangan para pelaku dan pihak lain. Oleh karena itu, unsur niat menguasai secara melawan hukum dapat ditarik dari perbuatan nyata para pelaku. </w:t>
      </w:r>
    </w:p>
    <w:p w14:paraId="68666240" w14:textId="77777777" w:rsidR="005E6F2C" w:rsidRDefault="009C57C4">
      <w:pPr>
        <w:spacing w:line="480" w:lineRule="auto"/>
        <w:ind w:firstLine="709"/>
        <w:jc w:val="both"/>
      </w:pPr>
      <w:r>
        <w:t>Unsur kekerasan dalam perkara ini juga tergambar jelas dalam BAP. Korban menerangkan bahwa dirinya mengalami pemukulan pada beberapa bagian tubuh, termasuk rahang, pinggang, mata, dan bagian tubuh lainnya. Keterangan tersebut diperkuat oleh saksi yang melihat kondisi korban setelah kejadian, yaitu adanya luka dan lebam pada wajah, kepala, tangan, lutut, bibir, dan mata korban. Fakta ini menunjukkan bahwa kekerasan bukan hanya diceritakan secara sepihak, tetapi juga didukung oleh keterangan saksi lain.</w:t>
      </w:r>
      <w:r>
        <w:rPr>
          <w:rStyle w:val="FootnoteReference"/>
        </w:rPr>
        <w:footnoteReference w:id="103"/>
      </w:r>
    </w:p>
    <w:p w14:paraId="3AD41162" w14:textId="77777777" w:rsidR="005E6F2C" w:rsidRDefault="009C57C4">
      <w:pPr>
        <w:spacing w:line="480" w:lineRule="auto"/>
        <w:ind w:firstLine="709"/>
        <w:jc w:val="both"/>
      </w:pPr>
      <w:r>
        <w:t>Kekerasan dalam Pasal 365 KUHP harus memiliki hubungan dengan pencurian. Dalam perkara ini, kekerasan dilakukan untuk membuat korban tidak berdaya dan mempermudah pelaku mengambil barang. Korban yang sebelumnya mengendarai sepeda motor bersama Sanggam dibuat terjatuh, kemudian mengalami pemukulan oleh beberapa pelaku. Setelah korban berada dalam keadaan lemah, barang milik korban kemudian diambil. Dengan demikian, fakta BAP menunjukkan hubungan langsung antara kekerasan dan pengambilan barang.</w:t>
      </w:r>
      <w:r>
        <w:rPr>
          <w:rStyle w:val="FootnoteReference"/>
        </w:rPr>
        <w:footnoteReference w:id="104"/>
      </w:r>
    </w:p>
    <w:p w14:paraId="74ABB829" w14:textId="77777777" w:rsidR="005E6F2C" w:rsidRDefault="009C57C4">
      <w:pPr>
        <w:spacing w:line="480" w:lineRule="auto"/>
        <w:ind w:firstLine="709"/>
        <w:jc w:val="both"/>
      </w:pPr>
      <w:r>
        <w:t xml:space="preserve">Kesesuaian fakta BAP dengan Pasal 365 KUHP juga terlihat dari adanya perbuatan yang dilakukan oleh lebih dari satu orang. Korban dan saksi menyebutkan bahwa pelaku tidak hanya satu orang, melainkan beberapa orang yang secara bersama-sama melakukan kekerasan terhadap korban. Dalam keterangan tersangka, juga disebutkan adanya nama Martin Harahap, Toni </w:t>
      </w:r>
      <w:r>
        <w:lastRenderedPageBreak/>
        <w:t>Sitorus, Febrin Siahaan, dan Teguh yang terlibat dalam rangkaian perbuatan. Hal ini menunjukkan bahwa unsur dilakukan secara bersama-sama memiliki dasar dalam fakta pemeriksaan.</w:t>
      </w:r>
      <w:r>
        <w:rPr>
          <w:rStyle w:val="FootnoteReference"/>
        </w:rPr>
        <w:footnoteReference w:id="105"/>
      </w:r>
    </w:p>
    <w:p w14:paraId="7AC4FBBF" w14:textId="77777777" w:rsidR="005E6F2C" w:rsidRDefault="009C57C4">
      <w:pPr>
        <w:spacing w:line="480" w:lineRule="auto"/>
        <w:ind w:firstLine="709"/>
        <w:jc w:val="both"/>
      </w:pPr>
      <w:r>
        <w:t>Pertanggungjawaban pidana terhadap pelaku yang melakukan perbuatan secara bersama-sama harus dilihat berdasarkan ajaran penyertaan. Dalam perkara ini, masing-masing pelaku memang tidak harus melakukan tindakan yang sama persis. Ada yang menarik korban, ada yang memukul, ada yang mengambil barang, dan ada yang membantu membawa atau menguasai barang setelah kejadian. Walaupun perannya berbeda, seluruh tindakan tersebut saling berkaitan dan mendukung terjadinya pencurian dengan kekerasan.</w:t>
      </w:r>
      <w:r>
        <w:rPr>
          <w:rStyle w:val="FootnoteReference"/>
        </w:rPr>
        <w:footnoteReference w:id="106"/>
      </w:r>
    </w:p>
    <w:p w14:paraId="71FABC27" w14:textId="77777777" w:rsidR="005E6F2C" w:rsidRDefault="009C57C4">
      <w:pPr>
        <w:spacing w:line="480" w:lineRule="auto"/>
        <w:ind w:firstLine="709"/>
        <w:jc w:val="both"/>
      </w:pPr>
      <w:r>
        <w:t>Martin Harahap dalam BAP terlihat sebagai salah satu pelaku yang memiliki peran menonjol. Ia disebut dalam keterangan korban dan saksi sebagai pihak yang melakukan kekerasan terhadap korban. Dalam keterangannya sebagai tersangka, Martin juga menjelaskan adanya tindakan kekerasan yang dilakukan bersama rekan-rekannya sebelum barang korban dikuasai. Fakta ini menunjukkan bahwa keterlibatan Martin bukan hanya berupa kehadiran di lokasi, tetapi berupa perbuatan aktif yang dapat menimbulkan pertanggungjawaban pidana.</w:t>
      </w:r>
      <w:r>
        <w:rPr>
          <w:rStyle w:val="FootnoteReference"/>
        </w:rPr>
        <w:footnoteReference w:id="107"/>
      </w:r>
    </w:p>
    <w:p w14:paraId="3B11286B" w14:textId="77777777" w:rsidR="005E6F2C" w:rsidRDefault="009C57C4">
      <w:pPr>
        <w:spacing w:line="480" w:lineRule="auto"/>
        <w:ind w:firstLine="709"/>
        <w:jc w:val="both"/>
      </w:pPr>
      <w:r>
        <w:t xml:space="preserve">Toni Leonardo Sitorus juga memiliki hubungan perbuatan dengan tindak pidana tersebut. Dalam BAP, Toni menerangkan bahwa ia ikut melakukan pemukulan terhadap korban. Pengakuan ini memperlihatkan bahwa Toni ikut dalam bagian kekerasan yang menjadi unsur utama Pasal 365 KUHP. Dengan </w:t>
      </w:r>
      <w:r>
        <w:lastRenderedPageBreak/>
        <w:t>demikian, pertanggungjawaban pidana Toni dapat dibangun atas dasar perbuatan aktifnya dalam melakukan kekerasan terhadap korban.</w:t>
      </w:r>
      <w:r>
        <w:rPr>
          <w:rStyle w:val="FootnoteReference"/>
        </w:rPr>
        <w:footnoteReference w:id="108"/>
      </w:r>
    </w:p>
    <w:p w14:paraId="1C485B47" w14:textId="77777777" w:rsidR="005E6F2C" w:rsidRDefault="009C57C4">
      <w:pPr>
        <w:spacing w:line="480" w:lineRule="auto"/>
        <w:ind w:firstLine="709"/>
        <w:jc w:val="both"/>
      </w:pPr>
      <w:r>
        <w:t>Febrin Siahaan juga disebut ikut melakukan kekerasan terhadap korban. Berdasarkan keterangan tersangka lain, Febrin melakukan pemukulan pada bagian tubuh dan wajah korban. Tindakan tersebut menjadi bagian dari rangkaian perbuatan bersama yang menyebabkan korban mengalami luka dan kehilangan barang. Oleh karena itu, dalam konteks pertanggungjawaban pidana, Febrin tidak dapat dipisahkan dari peristiwa utama karena perbuatannya turut mendukung terjadinya pencurian dengan kekerasan.</w:t>
      </w:r>
      <w:r>
        <w:rPr>
          <w:rStyle w:val="FootnoteReference"/>
        </w:rPr>
        <w:footnoteReference w:id="109"/>
      </w:r>
    </w:p>
    <w:p w14:paraId="1EE2746F" w14:textId="77777777" w:rsidR="005E6F2C" w:rsidRDefault="009C57C4">
      <w:pPr>
        <w:spacing w:line="480" w:lineRule="auto"/>
        <w:ind w:firstLine="709"/>
        <w:jc w:val="both"/>
      </w:pPr>
      <w:r>
        <w:t>Teguh juga disebut dalam BAP sebagai salah satu pihak yang ikut dalam rangkaian kejadian. Meskipun kadar keterlibatannya perlu dilihat secara lebih rinci, keberadaannya dalam rangkaian kekerasan dan penguasaan barang korban menunjukkan adanya kontribusi terhadap perbuatan bersama. Dalam perkara yang dilakukan secara bersama-sama, kontribusi seperti ini tetap penting karena hukum pidana tidak hanya menilai siapa yang mengambil barang, tetapi juga siapa yang membantu kekerasan atau memperlancar terjadinya pencurian.</w:t>
      </w:r>
      <w:r>
        <w:rPr>
          <w:rStyle w:val="FootnoteReference"/>
        </w:rPr>
        <w:footnoteReference w:id="110"/>
      </w:r>
      <w:r>
        <w:t xml:space="preserve"> </w:t>
      </w:r>
    </w:p>
    <w:p w14:paraId="70997E4B" w14:textId="77777777" w:rsidR="005E6F2C" w:rsidRDefault="009C57C4">
      <w:pPr>
        <w:spacing w:line="480" w:lineRule="auto"/>
        <w:ind w:firstLine="709"/>
        <w:jc w:val="both"/>
      </w:pPr>
      <w:r>
        <w:t xml:space="preserve">Fakta BAP juga menunjukkan bahwa para pelaku berada dalam keadaan sadar ketika melakukan perbuatan. Tidak ditemukan keterangan bahwa para pelaku berada dalam kondisi yang menghilangkan kemampuan bertanggung jawab. Bahkan dalam BAP, para tersangka dapat memberikan keterangan secara runtut mengenai kejadian, peran masing-masing, dan alasan mereka melakukan </w:t>
      </w:r>
      <w:r>
        <w:lastRenderedPageBreak/>
        <w:t>tindakan tersebut. Hal ini menunjukkan bahwa unsur kemampuan bertanggung jawab dapat dinilai terpenuhi.</w:t>
      </w:r>
      <w:r>
        <w:rPr>
          <w:rStyle w:val="FootnoteReference"/>
        </w:rPr>
        <w:footnoteReference w:id="111"/>
      </w:r>
    </w:p>
    <w:p w14:paraId="4B8EF762" w14:textId="77777777" w:rsidR="005E6F2C" w:rsidRDefault="009C57C4">
      <w:pPr>
        <w:spacing w:line="480" w:lineRule="auto"/>
        <w:ind w:firstLine="709"/>
        <w:jc w:val="both"/>
      </w:pPr>
      <w:r>
        <w:t>Unsur kesalahan dalam pertanggungjawaban pidana dapat dilihat dari kesadaran pelaku ketika melakukan perbuatan. Dalam perkara ini, para pelaku menyadari bahwa mereka melakukan kekerasan terhadap korban. Beberapa pelaku bahkan memberikan alasan bahwa mereka mencurigai korban membawa alat pencurian. Namun alasan tersebut tidak menghapus kesalahan, karena tindakan main hakim sendiri dan mengambil barang milik korban tetap bertentangan dengan hukum.</w:t>
      </w:r>
      <w:r>
        <w:rPr>
          <w:rStyle w:val="FootnoteReference"/>
        </w:rPr>
        <w:footnoteReference w:id="112"/>
      </w:r>
    </w:p>
    <w:p w14:paraId="46B5596C" w14:textId="77777777" w:rsidR="005E6F2C" w:rsidRDefault="009C57C4">
      <w:pPr>
        <w:spacing w:line="480" w:lineRule="auto"/>
        <w:ind w:firstLine="709"/>
        <w:jc w:val="both"/>
      </w:pPr>
      <w:r>
        <w:t>Dalam hukum pidana, seseorang tidak dapat membenarkan kekerasan dan pengambilan barang hanya karena adanya kecurigaan. Apabila para pelaku mencurigai korban melakukan tindak pidana, cara yang seharusnya dilakukan adalah menyerahkan kepada aparat penegak hukum. Namun dalam perkara ini, pelaku justru melakukan kekerasan dan mengambil barang milik korban. Oleh sebab itu, alasan kecurigaan tidak menghilangkan sifat melawan hukum dari perbuatan para pelaku.</w:t>
      </w:r>
      <w:r>
        <w:rPr>
          <w:rStyle w:val="FootnoteReference"/>
        </w:rPr>
        <w:footnoteReference w:id="113"/>
      </w:r>
    </w:p>
    <w:p w14:paraId="36345083" w14:textId="77777777" w:rsidR="005E6F2C" w:rsidRDefault="009C57C4">
      <w:pPr>
        <w:spacing w:line="480" w:lineRule="auto"/>
        <w:ind w:firstLine="709"/>
        <w:jc w:val="both"/>
      </w:pPr>
      <w:r>
        <w:t xml:space="preserve">Kesesuaian fakta BAP dengan unsur Pasal 365 KUHP juga didukung oleh adanya akibat yang dialami korban. Korban tidak hanya kehilangan barang, tetapi juga mengalami luka-luka dan terganggu aktivitas sehari-harinya. Dalam BAP, saksi menerangkan bahwa korban mengalami luka pada wajah, kepala, tangan, </w:t>
      </w:r>
      <w:r>
        <w:lastRenderedPageBreak/>
        <w:t>lutut, bibir, dan mata. Akibat ini menunjukkan bahwa kekerasan yang dilakukan para pelaku benar-benar menimbulkan penderitaan fisik bagi korban.</w:t>
      </w:r>
      <w:r>
        <w:rPr>
          <w:rStyle w:val="FootnoteReference"/>
        </w:rPr>
        <w:footnoteReference w:id="114"/>
      </w:r>
    </w:p>
    <w:p w14:paraId="100187FC" w14:textId="77777777" w:rsidR="005E6F2C" w:rsidRDefault="009C57C4">
      <w:pPr>
        <w:spacing w:line="480" w:lineRule="auto"/>
        <w:ind w:firstLine="709"/>
        <w:jc w:val="both"/>
      </w:pPr>
      <w:r>
        <w:t>Dalam konteks pertanggungjawaban pidana, akibat yang dialami korban menjadi penting karena menunjukkan hubungan kausal antara perbuatan pelaku dan kerugian korban. Kekerasan yang dilakukan para pelaku menyebabkan korban tidak berdaya, sedangkan pengambilan barang menyebabkan korban mengalami kerugian harta benda. Hubungan antara perbuatan dan akibat inilah yang menjadi dasar bagi penyidik untuk menilai bahwa para pelaku dapat dimintai pertanggungjawaban pidana.</w:t>
      </w:r>
      <w:r>
        <w:rPr>
          <w:rStyle w:val="FootnoteReference"/>
        </w:rPr>
        <w:footnoteReference w:id="115"/>
      </w:r>
    </w:p>
    <w:p w14:paraId="25CA9295" w14:textId="77777777" w:rsidR="00C501DE" w:rsidRDefault="00D728E3">
      <w:pPr>
        <w:spacing w:line="480" w:lineRule="auto"/>
        <w:ind w:firstLine="709"/>
        <w:jc w:val="both"/>
      </w:pPr>
      <w:r>
        <w:t>Berdasarkan hasil wawancara dengan IPDA Ismail Har, S.H., kesesuaian fakta BAP dengan Pasal 365 KUHP dinilai dengan memasangkan setiap unsur pasal dengan fakta yang diperoleh dalam pemeriksaan. Pengambilan sepeda motor, handphone, dompet, dan uang menunjukkan unsur pencurian, sedangkan tindakan menarik, menjatuhkan, atau memukul korban menunjukkan unsur kekerasan. Fakta bahwa tindakan dilakukan oleh beberapa orang dalam satu rangkaian menjadi dasar untuk menilai keadaan pemberatan dan keterkaitannya dengan ketentuan penyertaan.</w:t>
      </w:r>
      <w:r>
        <w:rPr>
          <w:rStyle w:val="FootnoteReference"/>
        </w:rPr>
        <w:footnoteReference w:id="116"/>
      </w:r>
    </w:p>
    <w:p w14:paraId="67663545" w14:textId="77777777" w:rsidR="00C501DE" w:rsidRDefault="00D728E3">
      <w:pPr>
        <w:spacing w:line="480" w:lineRule="auto"/>
        <w:ind w:firstLine="709"/>
        <w:jc w:val="both"/>
      </w:pPr>
      <w:r>
        <w:t xml:space="preserve">IPDA Ismail Har, S.H. menerangkan bahwa unsur pertanggungjawaban pidana dinilai dari adanya perbuatan pidana, kesalahan, kemampuan bertanggung jawab, dan tidak adanya alasan yang menghapuskan pidana. Rangkaian tindakan berupa mengejar atau memepet korban, melakukan kekerasan, menguasai barang, </w:t>
      </w:r>
      <w:r>
        <w:lastRenderedPageBreak/>
        <w:t>dan memindahkan barang menunjukkan tindakan sadar yang tidak dapat dipandang sebagai kelalaian. Dari fakta dalam BAP juga tidak tampak alasan pembenar atau alasan pemaaf yang dengan sendirinya menghapus kesalahan para pelaku.</w:t>
      </w:r>
      <w:r>
        <w:rPr>
          <w:rStyle w:val="FootnoteReference"/>
        </w:rPr>
        <w:footnoteReference w:id="117"/>
      </w:r>
    </w:p>
    <w:p w14:paraId="57167B6C" w14:textId="77777777" w:rsidR="00C501DE" w:rsidRDefault="00D728E3">
      <w:pPr>
        <w:spacing w:line="480" w:lineRule="auto"/>
        <w:ind w:firstLine="709"/>
        <w:jc w:val="both"/>
      </w:pPr>
      <w:r>
        <w:t>Menurut IPDA Ismail Har, S.H., pertanggungjawaban pidana secara bersama-sama tidak mensyaratkan setiap pelaku melakukan seluruh unsur dengan tangannya sendiri. Pelaku yang melakukan kekerasan untuk melumpuhkan korban, pelaku yang mengambil barang, dan pelaku yang membantu penguasaan barang dapat ditempatkan dalam satu konstruksi perbuatan bersama apabila kontribusinya terbukti saling berkaitan. Penyidik karena itu menghubungkan peran setiap orang dengan keterangan korban, saksi, tersangka, dan barang bukti sebelum menerapkan Pasal 365 KUHP jo. Pasal 55 KUHP.</w:t>
      </w:r>
      <w:r>
        <w:rPr>
          <w:rStyle w:val="FootnoteReference"/>
        </w:rPr>
        <w:footnoteReference w:id="118"/>
      </w:r>
    </w:p>
    <w:p w14:paraId="1489B288" w14:textId="77777777" w:rsidR="00C501DE" w:rsidRDefault="00D728E3">
      <w:pPr>
        <w:spacing w:line="480" w:lineRule="auto"/>
        <w:ind w:firstLine="709"/>
        <w:jc w:val="both"/>
      </w:pPr>
      <w:r>
        <w:t>Dalam hasil wawancara, IPDA Ismail Har, S.H. menjelaskan bahwa keadaan yang memberatkan dapat dilihat dari keterlibatan beberapa orang, penggunaan kekerasan fisik yang menimbulkan luka, serta banyaknya barang korban yang dikuasai. Sikap kooperatif, pengakuan, penyesalan, belum pernah dihukum, atau peran yang lebih terbatas dapat dicatat dalam proses pemeriksaan sebagai keadaan pribadi masing-masing pelaku. Penilaian akhir mengenai bobot keadaan yang memberatkan atau meringankan tetap berada pada penuntut umum dan hakim berdasarkan fakta yang terbukti dalam proses peradilan.</w:t>
      </w:r>
      <w:r>
        <w:rPr>
          <w:rStyle w:val="FootnoteReference"/>
        </w:rPr>
        <w:footnoteReference w:id="119"/>
      </w:r>
    </w:p>
    <w:p w14:paraId="0192CC26" w14:textId="77777777" w:rsidR="00C501DE" w:rsidRDefault="00D728E3">
      <w:pPr>
        <w:spacing w:line="480" w:lineRule="auto"/>
        <w:ind w:firstLine="709"/>
        <w:jc w:val="both"/>
      </w:pPr>
      <w:r>
        <w:lastRenderedPageBreak/>
        <w:t>IPDA Ismail Har, S.H. menyampaikan bahwa fakta yang telah dituangkan dalam BAP dapat mendukung proses hukum lebih lanjut apabila alat bukti disusun secara lengkap dan saling bersesuaian. Keterangan korban dan saksi menerangkan kekerasan serta barang yang hilang, sedangkan keterangan para tersangka membantu menguraikan keterlibatan dan perjalanan barang setelah kejadian. Kelengkapan dokumen seperti berita acara penyitaan, dokumentasi luka, atau visum apabila tersedia akan memperkuat berkas, sedangkan penilaian mengenai terbukti atau tidaknya kesalahan pada akhirnya menjadi kewenangan pengadilan.</w:t>
      </w:r>
      <w:r>
        <w:rPr>
          <w:rStyle w:val="FootnoteReference"/>
        </w:rPr>
        <w:footnoteReference w:id="120"/>
      </w:r>
    </w:p>
    <w:p w14:paraId="77AE7EE1" w14:textId="77777777" w:rsidR="005E6F2C" w:rsidRDefault="009C57C4">
      <w:pPr>
        <w:spacing w:line="480" w:lineRule="auto"/>
        <w:ind w:firstLine="709"/>
        <w:jc w:val="both"/>
      </w:pPr>
      <w:r>
        <w:t>Berdasarkan hasil wawancara dengan BRIPKA Pordinan H. Naeak, S.H. pada tanggal 2 Juni 2026, penyidik menjelaskan bahwa kesesuaian antara fakta BAP dan ketentuan Pasal 365 KUHP dilihat dari terpenuhinya unsur pencurian, kekerasan, dan keterlibatan bersama-sama. Penyidik juga menilai bahwa setiap keterangan dalam BAP harus saling berhubungan agar dapat menggambarkan peristiwa pidana secara utuh. Dengan demikian, pertanggungjawaban pelaku tidak hanya disimpulkan dari satu keterangan, tetapi dari keseluruhan alat bukti dan fakta pemeriksaan.</w:t>
      </w:r>
      <w:r>
        <w:rPr>
          <w:rStyle w:val="FootnoteReference"/>
        </w:rPr>
        <w:footnoteReference w:id="121"/>
      </w:r>
    </w:p>
    <w:p w14:paraId="7C467CF7" w14:textId="77777777" w:rsidR="005E6F2C" w:rsidRDefault="009C57C4">
      <w:pPr>
        <w:spacing w:line="480" w:lineRule="auto"/>
        <w:ind w:firstLine="709"/>
        <w:jc w:val="both"/>
      </w:pPr>
      <w:r>
        <w:t xml:space="preserve">Wawancara dengan penyidik juga memperlihatkan bahwa BAP menjadi dasar penting dalam menentukan konstruksi pertanggungjawaban pidana. Dalam perkara ini, penyidik menilai peran pelaku berdasarkan keterangan korban, saksi, tersangka, serta barang bukti yang ditemukan. Apabila seluruh fakta tersebut saling mendukung, maka penyidik dapat menyimpulkan bahwa perbuatan para </w:t>
      </w:r>
      <w:r>
        <w:lastRenderedPageBreak/>
        <w:t>pelaku memenuhi unsur tindak pidana pencurian dengan kekerasan secara bersama-sama.</w:t>
      </w:r>
      <w:r>
        <w:rPr>
          <w:rStyle w:val="FootnoteReference"/>
        </w:rPr>
        <w:footnoteReference w:id="122"/>
      </w:r>
    </w:p>
    <w:p w14:paraId="37350572" w14:textId="77777777" w:rsidR="005E6F2C" w:rsidRDefault="009C57C4">
      <w:pPr>
        <w:spacing w:line="480" w:lineRule="auto"/>
        <w:ind w:firstLine="709"/>
        <w:jc w:val="both"/>
      </w:pPr>
      <w:r>
        <w:t>Dalam BAP, terdapat kesesuaian antara keterangan korban dan saksi mengenai adanya kekerasan. Korban menyatakan bahwa dirinya dipukul oleh beberapa pelaku, sedangkan Sanggam sebagai saksi yang berada di lokasi juga menerangkan bahwa korban dipukul setelah kendaraan mereka dipepet. Kesamaan keterangan tersebut memperkuat fakta bahwa kekerasan benar-benar terjadi dan bukan merupakan keterangan yang berdiri sendiri.</w:t>
      </w:r>
      <w:r>
        <w:rPr>
          <w:rStyle w:val="FootnoteReference"/>
        </w:rPr>
        <w:footnoteReference w:id="123"/>
      </w:r>
    </w:p>
    <w:p w14:paraId="081EA7AE" w14:textId="77777777" w:rsidR="005E6F2C" w:rsidRDefault="009C57C4">
      <w:pPr>
        <w:spacing w:line="480" w:lineRule="auto"/>
        <w:ind w:firstLine="709"/>
        <w:jc w:val="both"/>
      </w:pPr>
      <w:r>
        <w:t xml:space="preserve">Kesesuaian juga terlihat antara keterangan saksi dan tersangka mengenai barang yang hilang. Korban menyebutkan bahwa sepeda motor, handphone, dan uangnya hilang setelah kejadian. Sementara itu, dalam keterangan tersangka, barang-barang tersebut juga disebut sebagai objek yang diambil atau dikuasai setelah korban mengalami kekerasan. Kesamaan keterangan ini memperkuat hubungan antara perbuatan kekerasan dan pengambilan barang.⁹³ </w:t>
      </w:r>
    </w:p>
    <w:p w14:paraId="1B1379B5" w14:textId="77777777" w:rsidR="005E6F2C" w:rsidRDefault="009C57C4">
      <w:pPr>
        <w:spacing w:line="480" w:lineRule="auto"/>
        <w:ind w:firstLine="709"/>
        <w:jc w:val="both"/>
      </w:pPr>
      <w:r>
        <w:t>Keterangan tersangka dalam BAP juga penting karena sebagian dari mereka mengakui tindakan kekerasan yang dilakukan terhadap korban. Pengakuan tersebut tentu tidak berdiri sendiri, tetapi menjadi kuat ketika sesuai dengan keterangan korban dan saksi. Dalam hal ini, pengakuan tersangka mengenai adanya pemukulan terhadap korban menjadi salah satu fakta yang memperkuat terpenuhinya unsur kekerasan dalam Pasal 365 KUHP.</w:t>
      </w:r>
      <w:r>
        <w:rPr>
          <w:rStyle w:val="FootnoteReference"/>
        </w:rPr>
        <w:footnoteReference w:id="124"/>
      </w:r>
    </w:p>
    <w:p w14:paraId="5530D0C5" w14:textId="77777777" w:rsidR="005E6F2C" w:rsidRDefault="009C57C4">
      <w:pPr>
        <w:spacing w:line="480" w:lineRule="auto"/>
        <w:ind w:firstLine="709"/>
        <w:jc w:val="both"/>
      </w:pPr>
      <w:r>
        <w:t xml:space="preserve">Dari segi hukum acara pidana, BAP memiliki peranan sebagai dokumen yang memuat hasil pemeriksaan pada tahap penyidikan. BAP tidak secara </w:t>
      </w:r>
      <w:r>
        <w:lastRenderedPageBreak/>
        <w:t>langsung menentukan bersalah atau tidaknya seseorang, tetapi menjadi dasar bagi penuntut umum dan hakim dalam menilai kelanjutan perkara. Oleh karena itu, semakin jelas hubungan antara fakta dalam BAP dan unsur pasal yang diterapkan, maka semakin kuat pula dasar hukum untuk membawa perkara ke tahap berikutnya.</w:t>
      </w:r>
      <w:r>
        <w:rPr>
          <w:rStyle w:val="FootnoteReference"/>
        </w:rPr>
        <w:footnoteReference w:id="125"/>
      </w:r>
    </w:p>
    <w:p w14:paraId="4CC6025D" w14:textId="77777777" w:rsidR="005E6F2C" w:rsidRDefault="009C57C4">
      <w:pPr>
        <w:spacing w:line="480" w:lineRule="auto"/>
        <w:ind w:firstLine="709"/>
        <w:jc w:val="both"/>
      </w:pPr>
      <w:r>
        <w:t>Dalam perkara ini, fakta mengenai perbuatan bersama-sama telah tergambar melalui keterangan beberapa pihak. Para pelaku disebut berada dalam satu rangkaian kejadian yang sama, pada waktu dan tempat yang sama, serta melakukan tindakan yang saling mendukung. Hal ini sejalan dengan konsep penyertaan dalam hukum pidana, karena setiap pelaku berkontribusi dalam tercapainya tindak pidana pencurian dengan kekerasan.</w:t>
      </w:r>
      <w:r>
        <w:rPr>
          <w:rStyle w:val="FootnoteReference"/>
        </w:rPr>
        <w:footnoteReference w:id="126"/>
      </w:r>
    </w:p>
    <w:p w14:paraId="635579BB" w14:textId="77777777" w:rsidR="005E6F2C" w:rsidRDefault="009C57C4">
      <w:pPr>
        <w:spacing w:line="480" w:lineRule="auto"/>
        <w:ind w:firstLine="709"/>
        <w:jc w:val="both"/>
      </w:pPr>
      <w:r>
        <w:t>Pertanggungjawaban pidana secara bersama-sama tidak berarti semua pelaku harus memiliki peran yang identik. Seseorang yang ikut melakukan kekerasan terhadap korban dapat dimintai pertanggungjawaban karena kekerasan tersebut menjadi sarana pencurian. Demikian juga seseorang yang mengambil atau membantu menguasai barang setelah korban tidak berdaya tetap dapat dimintai pertanggungjawaban karena perbuatannya menjadi bagian dari rangkaian pencurian.</w:t>
      </w:r>
      <w:r>
        <w:rPr>
          <w:rStyle w:val="FootnoteReference"/>
        </w:rPr>
        <w:footnoteReference w:id="127"/>
      </w:r>
    </w:p>
    <w:p w14:paraId="612BF3DE" w14:textId="77777777" w:rsidR="005E6F2C" w:rsidRDefault="009C57C4">
      <w:pPr>
        <w:spacing w:line="480" w:lineRule="auto"/>
        <w:ind w:firstLine="709"/>
        <w:jc w:val="both"/>
      </w:pPr>
      <w:r>
        <w:t xml:space="preserve">Fakta bahwa para pelaku melakukan kekerasan terlebih dahulu, kemudian barang korban hilang, menunjukkan adanya pola perbuatan yang sesuai dengan Pasal 365 KUHP. Kekerasan tidak terjadi secara terpisah dari pencurian, </w:t>
      </w:r>
      <w:r>
        <w:lastRenderedPageBreak/>
        <w:t>melainkan berada dalam satu rangkaian yang sama. Dengan demikian, fakta BAP menunjukkan bahwa perkara ini lebih tepat dikualifikasikan sebagai pencurian dengan kekerasan, bukan hanya penganiayaan atau pencurian biasa.</w:t>
      </w:r>
      <w:r>
        <w:rPr>
          <w:rStyle w:val="FootnoteReference"/>
        </w:rPr>
        <w:footnoteReference w:id="128"/>
      </w:r>
    </w:p>
    <w:p w14:paraId="6E376BEE" w14:textId="77777777" w:rsidR="005E6F2C" w:rsidRDefault="009C57C4">
      <w:pPr>
        <w:spacing w:line="480" w:lineRule="auto"/>
        <w:ind w:firstLine="709"/>
        <w:jc w:val="both"/>
      </w:pPr>
      <w:r>
        <w:t>Dalam perkara ini, unsur kesengajaan juga dapat dilihat dari cara para pelaku mendekati korban, menarik korban hingga jatuh, melakukan pemukulan, dan kemudian menguasai barang korban. Rangkaian tindakan tersebut menunjukkan adanya kehendak sadar untuk melakukan perbuatan. Walaupun para pelaku memberikan alasan adanya kecurigaan terhadap korban, alasan tersebut tidak mengubah kenyataan bahwa mereka melakukan tindakan yang dilarang oleh hukum pidana.</w:t>
      </w:r>
      <w:r>
        <w:rPr>
          <w:rStyle w:val="FootnoteReference"/>
        </w:rPr>
        <w:footnoteReference w:id="129"/>
      </w:r>
    </w:p>
    <w:p w14:paraId="5F3472F5" w14:textId="77777777" w:rsidR="005E6F2C" w:rsidRDefault="009C57C4">
      <w:pPr>
        <w:spacing w:line="480" w:lineRule="auto"/>
        <w:ind w:firstLine="709"/>
        <w:jc w:val="both"/>
      </w:pPr>
      <w:r>
        <w:t>Selain itu, fakta bahwa barang korban berpindah ke penguasaan pelaku setelah korban dipukul menunjukkan bahwa pencurian bukan terjadi secara kebetulan. Pengambilan barang dilakukan setelah korban berada dalam kondisi lemah akibat kekerasan. Dengan demikian, unsur objektif berupa perbuatan mengambil barang dan unsur subjektif berupa maksud memiliki secara melawan hukum sama-sama dapat ditemukan dalam fakta BAP.</w:t>
      </w:r>
      <w:r>
        <w:rPr>
          <w:rStyle w:val="FootnoteReference"/>
        </w:rPr>
        <w:footnoteReference w:id="130"/>
      </w:r>
    </w:p>
    <w:p w14:paraId="7A2B179D" w14:textId="77777777" w:rsidR="005E6F2C" w:rsidRDefault="009C57C4">
      <w:pPr>
        <w:spacing w:line="480" w:lineRule="auto"/>
        <w:ind w:firstLine="709"/>
        <w:jc w:val="both"/>
      </w:pPr>
      <w:r>
        <w:t xml:space="preserve">Apabila dikaitkan dengan Pasal 365 ayat (2) KUHP, perbuatan yang dilakukan oleh dua orang atau lebih secara bersama-sama dapat menjadi keadaan yang memberatkan. Dalam perkara ini, BAP menunjukkan bahwa pelaku lebih dari satu orang dan masing-masing memiliki tindakan dalam rangkaian kejadian. </w:t>
      </w:r>
      <w:r>
        <w:lastRenderedPageBreak/>
        <w:t>Oleh karena itu, fakta tersebut dapat mendukung penerapan ketentuan pencurian dengan kekerasan yang dilakukan secara bersama-sama.</w:t>
      </w:r>
      <w:r>
        <w:rPr>
          <w:rStyle w:val="FootnoteReference"/>
        </w:rPr>
        <w:footnoteReference w:id="131"/>
      </w:r>
    </w:p>
    <w:p w14:paraId="6235D07A" w14:textId="77777777" w:rsidR="005E6F2C" w:rsidRDefault="009C57C4">
      <w:pPr>
        <w:spacing w:line="480" w:lineRule="auto"/>
        <w:ind w:firstLine="709"/>
        <w:jc w:val="both"/>
      </w:pPr>
      <w:r>
        <w:t>Berdasarkan hasil wawancara dengan penyidik, penyidik menilai bahwa pertanggungjawaban pidana para pelaku dapat dibangun apabila peran masing-masing pelaku dapat dibuktikan melalui BAP. Penyidik melihat bahwa keterangan korban, saksi, dan tersangka harus menunjukkan keterkaitan satu sama lain. Dalam perkara ini, keterkaitan tersebut terlihat dari adanya kesesuaian mengenai waktu kejadian, tempat kejadian, jumlah pelaku, bentuk kekerasan, serta barang yang diambil.</w:t>
      </w:r>
      <w:r>
        <w:rPr>
          <w:rStyle w:val="FootnoteReference"/>
        </w:rPr>
        <w:footnoteReference w:id="132"/>
      </w:r>
    </w:p>
    <w:p w14:paraId="458BCEA2" w14:textId="77777777" w:rsidR="005E6F2C" w:rsidRDefault="009C57C4">
      <w:pPr>
        <w:spacing w:line="480" w:lineRule="auto"/>
        <w:ind w:firstLine="709"/>
        <w:jc w:val="both"/>
      </w:pPr>
      <w:r>
        <w:t>Kendala dalam menilai pertanggungjawaban pidana biasanya muncul ketika pelaku saling melempar peran atau berusaha mengurangi keterlibatannya. Namun, dalam perkara ini, beberapa keterangan dalam BAP justru saling melengkapi mengenai siapa saja yang terlibat dan bagaimana kekerasan dilakukan. Dengan demikian, penyidik dapat menilai peran para pelaku secara lebih objektif berdasarkan rangkaian fakta, bukan hanya berdasarkan pengakuan masing-masing pelaku.</w:t>
      </w:r>
      <w:r>
        <w:rPr>
          <w:rStyle w:val="FootnoteReference"/>
        </w:rPr>
        <w:footnoteReference w:id="133"/>
      </w:r>
    </w:p>
    <w:p w14:paraId="1F82EF6D" w14:textId="77777777" w:rsidR="005E6F2C" w:rsidRDefault="009C57C4">
      <w:pPr>
        <w:spacing w:line="480" w:lineRule="auto"/>
        <w:ind w:firstLine="709"/>
        <w:jc w:val="both"/>
      </w:pPr>
      <w:r>
        <w:t xml:space="preserve">Kesesuaian antara fakta BAP dan ketentuan hukum pidana harus dinilai dengan melihat apakah fakta tersebut memenuhi unsur objektif dan subjektif tindak pidana. Unsur objektif terlihat dari adanya perbuatan mengambil barang dan penggunaan kekerasan terhadap korban, sedangkan unsur subjektif terlihat dari maksud pelaku untuk memiliki barang secara melawan hukum. Kedua unsur </w:t>
      </w:r>
      <w:r>
        <w:lastRenderedPageBreak/>
        <w:t>tersebut harus hadir secara bersamaan agar pertanggungjawaban pidana dapat dibangun secara utuh.</w:t>
      </w:r>
      <w:r>
        <w:rPr>
          <w:rStyle w:val="FootnoteReference"/>
        </w:rPr>
        <w:footnoteReference w:id="134"/>
      </w:r>
    </w:p>
    <w:p w14:paraId="7D27E284" w14:textId="77777777" w:rsidR="005E6F2C" w:rsidRDefault="009C57C4">
      <w:pPr>
        <w:spacing w:line="480" w:lineRule="auto"/>
        <w:ind w:firstLine="709"/>
        <w:jc w:val="both"/>
      </w:pPr>
      <w:r>
        <w:t>Fakta dalam BAP mengenai barang korban yang hilang memiliki hubungan langsung dengan unsur pencurian. Barang berupa sepeda motor, handphone, dompet, dan uang tunai merupakan benda yang dapat menjadi objek pencurian karena memiliki nilai ekonomi dan berada dalam penguasaan korban. Apabila barang tersebut berpindah tanpa izin dan dikuasai oleh pelaku, maka unsur pengambilan barang milik orang lain dapat dinilai terpenuhi.</w:t>
      </w:r>
      <w:r>
        <w:rPr>
          <w:rStyle w:val="FootnoteReference"/>
        </w:rPr>
        <w:footnoteReference w:id="135"/>
      </w:r>
    </w:p>
    <w:p w14:paraId="7E29CB73" w14:textId="77777777" w:rsidR="005E6F2C" w:rsidRDefault="009C57C4">
      <w:pPr>
        <w:spacing w:line="480" w:lineRule="auto"/>
        <w:ind w:firstLine="709"/>
        <w:jc w:val="both"/>
      </w:pPr>
      <w:r>
        <w:t>Fakta mengenai kekerasan terhadap korban juga harus ditempatkan sebagai bagian dari unsur Pasal 365 KUHP. Kekerasan yang dilakukan para pelaku bukan hanya memperlihatkan serangan terhadap tubuh korban, tetapi juga menunjukkan cara yang digunakan untuk melumpuhkan korban. Apabila kekerasan tersebut mempermudah pelaku mengambil barang, maka fakta dalam BAP sesuai dengan konstruksi pencurian dengan kekerasan.</w:t>
      </w:r>
      <w:r>
        <w:rPr>
          <w:rStyle w:val="FootnoteReference"/>
        </w:rPr>
        <w:footnoteReference w:id="136"/>
      </w:r>
    </w:p>
    <w:p w14:paraId="246EF164" w14:textId="77777777" w:rsidR="005E6F2C" w:rsidRDefault="009C57C4">
      <w:pPr>
        <w:spacing w:line="480" w:lineRule="auto"/>
        <w:ind w:firstLine="709"/>
        <w:jc w:val="both"/>
      </w:pPr>
      <w:r>
        <w:t>Kesesuaian fakta BAP dengan pertanggungjawaban pidana juga tampak dari adanya beberapa pelaku yang terlibat dalam satu rangkaian peristiwa. Dalam hukum pidana, keterlibatan beberapa orang dapat dikualifikasikan sebagai penyertaan apabila terdapat hubungan perbuatan dan kehendak bersama. Oleh karena itu, BAP harus menunjukkan bahwa para pelaku tidak bertindak secara kebetulan, melainkan saling mendukung dalam melakukan tindak pidana.</w:t>
      </w:r>
      <w:r>
        <w:rPr>
          <w:rStyle w:val="FootnoteReference"/>
        </w:rPr>
        <w:footnoteReference w:id="137"/>
      </w:r>
    </w:p>
    <w:p w14:paraId="4F2F517C" w14:textId="77777777" w:rsidR="005E6F2C" w:rsidRDefault="009C57C4">
      <w:pPr>
        <w:spacing w:line="480" w:lineRule="auto"/>
        <w:ind w:firstLine="709"/>
        <w:jc w:val="both"/>
      </w:pPr>
      <w:r>
        <w:t xml:space="preserve">Unsur kesalahan menjadi dasar penting dalam menentukan pertanggungjawaban pidana para pelaku. Dalam perkara ini, kesalahan dapat </w:t>
      </w:r>
      <w:r>
        <w:lastRenderedPageBreak/>
        <w:t>dilihat dari kesadaran pelaku melakukan kekerasan dan mengambil atau menguasai barang korban. Apabila pelaku memahami perbuatannya dan tetap melakukan tindakan tersebut, maka perbuatan itu dapat dicela secara hukum dan menjadi dasar pemidanaan.</w:t>
      </w:r>
      <w:r>
        <w:rPr>
          <w:rStyle w:val="FootnoteReference"/>
        </w:rPr>
        <w:footnoteReference w:id="138"/>
      </w:r>
    </w:p>
    <w:p w14:paraId="6555D8D0" w14:textId="77777777" w:rsidR="005E6F2C" w:rsidRDefault="009C57C4">
      <w:pPr>
        <w:spacing w:line="480" w:lineRule="auto"/>
        <w:ind w:firstLine="709"/>
        <w:jc w:val="both"/>
      </w:pPr>
      <w:r>
        <w:t>Selain kesalahan, kemampuan bertanggung jawab juga perlu diperhatikan. Fakta BAP yang menunjukkan bahwa para pelaku dapat memberikan keterangan, memahami pertanyaan, dan menjelaskan kronologi peristiwa menjadi indikasi bahwa mereka berada dalam keadaan sadar. Selama tidak terdapat alasan yang membuktikan hilangnya kemampuan bertanggung jawab, maka pelaku dapat dimintai pertanggungjawaban pidana.</w:t>
      </w:r>
      <w:r>
        <w:rPr>
          <w:rStyle w:val="FootnoteReference"/>
        </w:rPr>
        <w:footnoteReference w:id="139"/>
      </w:r>
    </w:p>
    <w:p w14:paraId="296B8A71" w14:textId="77777777" w:rsidR="005E6F2C" w:rsidRDefault="009C57C4">
      <w:pPr>
        <w:spacing w:line="480" w:lineRule="auto"/>
        <w:ind w:firstLine="709"/>
        <w:jc w:val="both"/>
      </w:pPr>
      <w:r>
        <w:t>Kesesuaian antara fakta dan hukum juga harus dinilai dari tidak adanya alasan pembenar. Kekerasan terhadap korban dan pengambilan barang tidak dapat dibenarkan hanya karena adanya dugaan atau emosi terhadap korban. Apabila seseorang merasa dirugikan atau mencurigai orang lain, penyelesaian yang dibenarkan hukum adalah melalui aparat penegak hukum, bukan melalui tindakan kekerasan dan pengambilan barang secara sepihak.</w:t>
      </w:r>
      <w:r>
        <w:rPr>
          <w:rStyle w:val="FootnoteReference"/>
        </w:rPr>
        <w:footnoteReference w:id="140"/>
      </w:r>
    </w:p>
    <w:p w14:paraId="1DAAD397" w14:textId="77777777" w:rsidR="005E6F2C" w:rsidRDefault="009C57C4">
      <w:pPr>
        <w:spacing w:line="480" w:lineRule="auto"/>
        <w:ind w:firstLine="709"/>
        <w:jc w:val="both"/>
      </w:pPr>
      <w:r>
        <w:t xml:space="preserve">Tidak adanya alasan pemaaf juga penting untuk menentukan pertanggungjawaban pidana. Dalam BAP, apabila tidak ditemukan keadaan yang memaksa pelaku melakukan perbuatan atau keadaan psikis yang menghapus kesalahan, maka perbuatan pelaku tetap dapat dipertanggungjawabkan. Dengan demikian, pertanggungjawaban pidana para pelaku tidak hanya didasarkan pada </w:t>
      </w:r>
      <w:r>
        <w:lastRenderedPageBreak/>
        <w:t>akibat, tetapi juga pada keadaan batin dan kemampuan mereka saat melakukan perbuatan.</w:t>
      </w:r>
      <w:r>
        <w:rPr>
          <w:rStyle w:val="FootnoteReference"/>
        </w:rPr>
        <w:footnoteReference w:id="141"/>
      </w:r>
    </w:p>
    <w:p w14:paraId="3D8406B9" w14:textId="77777777" w:rsidR="005E6F2C" w:rsidRDefault="009C57C4">
      <w:pPr>
        <w:spacing w:line="480" w:lineRule="auto"/>
        <w:ind w:firstLine="709"/>
        <w:jc w:val="both"/>
      </w:pPr>
      <w:r>
        <w:t>Kesesuaian BAP dengan hukum acara pidana terlihat dari penggunaan alat bukti yang saling menguatkan. Keterangan korban, keterangan saksi, keterangan tersangka, dan barang bukti harus membentuk rangkaian fakta yang logis. Apabila setiap alat bukti berdiri sendiri tanpa hubungan, maka pembuktian menjadi lemah. Namun, apabila seluruh alat bukti saling mendukung, maka pertanggungjawaban pidana para pelaku menjadi lebih dapat dipertanggungjawabkan.</w:t>
      </w:r>
      <w:r>
        <w:rPr>
          <w:rStyle w:val="FootnoteReference"/>
        </w:rPr>
        <w:footnoteReference w:id="142"/>
      </w:r>
    </w:p>
    <w:p w14:paraId="0D02A9E6" w14:textId="77777777" w:rsidR="005E6F2C" w:rsidRDefault="009C57C4">
      <w:pPr>
        <w:spacing w:line="480" w:lineRule="auto"/>
        <w:ind w:firstLine="709"/>
        <w:jc w:val="both"/>
      </w:pPr>
      <w:r>
        <w:t>Dengan demikian, fakta-fakta dalam BAP dapat dikatakan sesuai dengan ketentuan hukum pidana apabila mampu membuktikan unsur pencurian, kekerasan, penyertaan, kesalahan, kemampuan bertanggung jawab, dan tidak adanya alasan penghapus pidana. Kesesuaian tersebut menjadi dasar untuk menilai bahwa para pelaku tidak hanya terlibat secara faktual, tetapi juga dapat dimintai pertanggungjawaban pidana secara yuridis berdasarkan Pasal 365 KUHP jo. Pasal 55 KUHP.</w:t>
      </w:r>
      <w:r>
        <w:rPr>
          <w:rStyle w:val="FootnoteReference"/>
        </w:rPr>
        <w:footnoteReference w:id="143"/>
      </w:r>
    </w:p>
    <w:p w14:paraId="3A3C82FE" w14:textId="77777777" w:rsidR="005E6F2C" w:rsidRDefault="009C57C4">
      <w:pPr>
        <w:spacing w:line="480" w:lineRule="auto"/>
        <w:ind w:firstLine="709"/>
        <w:jc w:val="both"/>
      </w:pPr>
      <w:r>
        <w:t xml:space="preserve">Berdasarkan keseluruhan fakta dalam BAP, dapat dipahami bahwa perbuatan para pelaku memenuhi unsur pertanggungjawaban pidana karena terdapat perbuatan pidana, kesalahan, kemampuan bertanggung jawab, dan tidak adanya alasan pembenar atau pemaaf yang menghapus pidana. Para pelaku melakukan kekerasan terhadap korban, mengambil barang milik korban, dan melakukannya dalam rangkaian tindakan bersama. Oleh sebab itu, fakta BAP </w:t>
      </w:r>
      <w:r>
        <w:lastRenderedPageBreak/>
        <w:t>memiliki kesesuaian dengan ketentuan hukum pidana terkait pencurian dengan kekerasan secara bersama-sama.</w:t>
      </w:r>
    </w:p>
    <w:p w14:paraId="673F2B2B" w14:textId="77777777" w:rsidR="005E6F2C" w:rsidRDefault="005E6F2C" w:rsidP="0012507D">
      <w:pPr>
        <w:pStyle w:val="BodyText0"/>
        <w:spacing w:after="0" w:line="240" w:lineRule="auto"/>
        <w:ind w:left="851" w:hanging="851"/>
        <w:jc w:val="both"/>
        <w:rPr>
          <w:color w:val="000000"/>
          <w:sz w:val="24"/>
          <w:szCs w:val="24"/>
          <w:lang w:bidi="id-ID"/>
        </w:rPr>
      </w:pPr>
    </w:p>
    <w:sectPr w:rsidR="005E6F2C">
      <w:headerReference w:type="even" r:id="rId9"/>
      <w:headerReference w:type="default" r:id="rId10"/>
      <w:footerReference w:type="default" r:id="rId11"/>
      <w:headerReference w:type="first" r:id="rId12"/>
      <w:footerReference w:type="first" r:id="rId13"/>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11730C" w14:textId="77777777" w:rsidR="00AF72AB" w:rsidRDefault="00AF72AB">
      <w:r>
        <w:separator/>
      </w:r>
    </w:p>
  </w:endnote>
  <w:endnote w:type="continuationSeparator" w:id="0">
    <w:p w14:paraId="6671A88C" w14:textId="77777777" w:rsidR="00AF72AB" w:rsidRDefault="00AF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5D6D9F">
      <w:rPr>
        <w:noProof/>
      </w:rPr>
      <w:t>1</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398BCA" w14:textId="77777777" w:rsidR="00AF72AB" w:rsidRDefault="00AF72AB">
      <w:r>
        <w:separator/>
      </w:r>
    </w:p>
  </w:footnote>
  <w:footnote w:type="continuationSeparator" w:id="0">
    <w:p w14:paraId="577FB2DC" w14:textId="77777777" w:rsidR="00AF72AB" w:rsidRDefault="00AF72AB">
      <w:r>
        <w:continuationSeparator/>
      </w:r>
    </w:p>
  </w:footnote>
  <w:footnote w:id="1">
    <w:p w14:paraId="5C9EF231" w14:textId="77777777" w:rsidR="005E6F2C" w:rsidRDefault="009C57C4" w:rsidP="006B7248">
      <w:pPr>
        <w:pStyle w:val="FootnoteText"/>
        <w:ind w:firstLine="709"/>
        <w:jc w:val="both"/>
      </w:pPr>
      <w:r>
        <w:rPr>
          <w:rStyle w:val="FootnoteCharacters"/>
        </w:rPr>
        <w:footnoteRef/>
      </w:r>
      <w:r>
        <w:t xml:space="preserve"> R. Soesilo, </w:t>
      </w:r>
      <w:r>
        <w:rPr>
          <w:rStyle w:val="Emphasis"/>
        </w:rPr>
        <w:t>Kitab Undang-Undang Hukum Pidana serta Komentar-Komentarnya Lengkap Pasal demi Pasal</w:t>
      </w:r>
      <w:r>
        <w:t>, (Bogor: Politeia, 1995), hlm. 253.</w:t>
      </w:r>
    </w:p>
  </w:footnote>
  <w:footnote w:id="2">
    <w:p w14:paraId="58BE1F89" w14:textId="77777777" w:rsidR="005E6F2C" w:rsidRDefault="009C57C4" w:rsidP="006B7248">
      <w:pPr>
        <w:pStyle w:val="FootnoteText"/>
        <w:ind w:firstLine="709"/>
        <w:jc w:val="both"/>
      </w:pPr>
      <w:r>
        <w:rPr>
          <w:rStyle w:val="FootnoteCharacters"/>
        </w:rPr>
        <w:footnoteRef/>
      </w:r>
      <w:r>
        <w:t xml:space="preserve"> Pasal 365</w:t>
      </w:r>
      <w:r>
        <w:rPr>
          <w:lang w:val="id-ID"/>
        </w:rPr>
        <w:t xml:space="preserve"> </w:t>
      </w:r>
      <w:r>
        <w:t>Kitab Undang-Undang Hukum Pidana.</w:t>
      </w:r>
    </w:p>
  </w:footnote>
  <w:footnote w:id="3">
    <w:p w14:paraId="10CCAD87" w14:textId="77777777" w:rsidR="005E6F2C" w:rsidRDefault="009C57C4" w:rsidP="006B7248">
      <w:pPr>
        <w:pStyle w:val="FootnoteText"/>
        <w:ind w:firstLine="709"/>
        <w:jc w:val="both"/>
      </w:pPr>
      <w:r>
        <w:rPr>
          <w:rStyle w:val="FootnoteCharacters"/>
        </w:rPr>
        <w:footnoteRef/>
      </w:r>
      <w:r>
        <w:t xml:space="preserve"> Moeljatno, </w:t>
      </w:r>
      <w:r>
        <w:rPr>
          <w:rStyle w:val="Emphasis"/>
        </w:rPr>
        <w:t>Asas-Asas Hukum Pidana</w:t>
      </w:r>
      <w:r>
        <w:t>, (Jakarta: Rineka Cipta, 2008), hlm. 54.</w:t>
      </w:r>
    </w:p>
  </w:footnote>
  <w:footnote w:id="4">
    <w:p w14:paraId="1729D6F5" w14:textId="14205675"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5">
    <w:p w14:paraId="3B283059" w14:textId="48FC81EA"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6">
    <w:p w14:paraId="0FD39AC8" w14:textId="12FA688C"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7">
    <w:p w14:paraId="43E592F8" w14:textId="550621F9"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8">
    <w:p w14:paraId="5944034B" w14:textId="553EC5D7"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9">
    <w:p w14:paraId="213F2DDD"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10">
    <w:p w14:paraId="0FCF340E" w14:textId="77777777" w:rsidR="005E6F2C" w:rsidRDefault="009C57C4" w:rsidP="006B7248">
      <w:pPr>
        <w:pStyle w:val="FootnoteText"/>
        <w:ind w:firstLine="709"/>
        <w:jc w:val="both"/>
      </w:pPr>
      <w:r>
        <w:rPr>
          <w:rStyle w:val="FootnoteCharacters"/>
        </w:rPr>
        <w:footnoteRef/>
      </w:r>
      <w:r>
        <w:t xml:space="preserve"> P.A.F. Lamintang, </w:t>
      </w:r>
      <w:r>
        <w:rPr>
          <w:rStyle w:val="Emphasis"/>
        </w:rPr>
        <w:t>Dasar-Dasar Hukum Pidana Indonesia</w:t>
      </w:r>
      <w:r>
        <w:t>, (Bandung: Citra Aditya Bakti, 2013), hlm. 193.</w:t>
      </w:r>
    </w:p>
  </w:footnote>
  <w:footnote w:id="11">
    <w:p w14:paraId="1B0CBC7A" w14:textId="77777777" w:rsidR="005E6F2C" w:rsidRDefault="009C57C4" w:rsidP="006B7248">
      <w:pPr>
        <w:pStyle w:val="FootnoteText"/>
        <w:ind w:firstLine="709"/>
        <w:jc w:val="both"/>
      </w:pPr>
      <w:r>
        <w:rPr>
          <w:rStyle w:val="FootnoteCharacters"/>
        </w:rPr>
        <w:footnoteRef/>
      </w:r>
      <w:r>
        <w:t xml:space="preserve"> Andi Hamzah, </w:t>
      </w:r>
      <w:r>
        <w:rPr>
          <w:rStyle w:val="Emphasis"/>
        </w:rPr>
        <w:t>Hukum Acara Pidana Indonesia</w:t>
      </w:r>
      <w:r>
        <w:t>, (Jakarta: Sinar Grafika, 2016), hlm. 119.</w:t>
      </w:r>
    </w:p>
  </w:footnote>
  <w:footnote w:id="12">
    <w:p w14:paraId="52A7616C" w14:textId="77777777" w:rsidR="005E6F2C" w:rsidRDefault="009C57C4" w:rsidP="006B7248">
      <w:pPr>
        <w:pStyle w:val="FootnoteText"/>
        <w:ind w:firstLine="709"/>
        <w:jc w:val="both"/>
      </w:pPr>
      <w:r>
        <w:rPr>
          <w:rStyle w:val="FootnoteCharacters"/>
        </w:rPr>
        <w:footnoteRef/>
      </w:r>
      <w:r>
        <w:t xml:space="preserve"> Wirjono Prodjodikoro, </w:t>
      </w:r>
      <w:r>
        <w:rPr>
          <w:rStyle w:val="Emphasis"/>
        </w:rPr>
        <w:t>Tindak-Tindak Pidana Tertentu di Indonesia</w:t>
      </w:r>
      <w:r>
        <w:t>, (Bandung: Refika Aditama, 2012), hlm. 15.</w:t>
      </w:r>
    </w:p>
  </w:footnote>
  <w:footnote w:id="13">
    <w:p w14:paraId="7A51428C"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Rajawali Pers, 2017), hlm. 103.</w:t>
      </w:r>
    </w:p>
  </w:footnote>
  <w:footnote w:id="14">
    <w:p w14:paraId="1A72FEA8"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15">
    <w:p w14:paraId="48A02801" w14:textId="77777777" w:rsidR="005E6F2C" w:rsidRDefault="009C57C4" w:rsidP="006B7248">
      <w:pPr>
        <w:pStyle w:val="FootnoteText"/>
        <w:ind w:firstLine="709"/>
        <w:jc w:val="both"/>
      </w:pPr>
      <w:r>
        <w:rPr>
          <w:rStyle w:val="FootnoteCharacters"/>
        </w:rPr>
        <w:footnoteRef/>
      </w:r>
      <w:r>
        <w:t xml:space="preserve"> Adami Chazawi, </w:t>
      </w:r>
      <w:r>
        <w:rPr>
          <w:rStyle w:val="Emphasis"/>
        </w:rPr>
        <w:t>Kejahatan terhadap Harta Benda</w:t>
      </w:r>
      <w:r>
        <w:t>, (Malang: Bayumedia, 2011), hlm. 5.</w:t>
      </w:r>
    </w:p>
  </w:footnote>
  <w:footnote w:id="16">
    <w:p w14:paraId="432B9850" w14:textId="77777777" w:rsidR="005E6F2C" w:rsidRDefault="009C57C4" w:rsidP="006B7248">
      <w:pPr>
        <w:pStyle w:val="FootnoteText"/>
        <w:ind w:firstLine="709"/>
        <w:jc w:val="both"/>
      </w:pPr>
      <w:r>
        <w:rPr>
          <w:rStyle w:val="FootnoteCharacters"/>
        </w:rPr>
        <w:footnoteRef/>
      </w:r>
      <w:r>
        <w:t xml:space="preserve"> Eddy O.S. Hiariej, </w:t>
      </w:r>
      <w:r>
        <w:rPr>
          <w:rStyle w:val="Emphasis"/>
        </w:rPr>
        <w:t>Prinsip-Prinsip Hukum Pidana</w:t>
      </w:r>
      <w:r>
        <w:t>, (Yogyakarta: Cahaya Atma Pustaka, 2016), hlm. 121.</w:t>
      </w:r>
    </w:p>
  </w:footnote>
  <w:footnote w:id="17">
    <w:p w14:paraId="7A7F08C1" w14:textId="77777777" w:rsidR="005E6F2C" w:rsidRDefault="009C57C4" w:rsidP="006B7248">
      <w:pPr>
        <w:pStyle w:val="FootnoteText"/>
        <w:ind w:firstLine="709"/>
        <w:jc w:val="both"/>
      </w:pPr>
      <w:r>
        <w:rPr>
          <w:rStyle w:val="FootnoteCharacters"/>
        </w:rPr>
        <w:footnoteRef/>
      </w:r>
      <w:r>
        <w:t xml:space="preserve"> R. Sugandhi, </w:t>
      </w:r>
      <w:r>
        <w:rPr>
          <w:rStyle w:val="Emphasis"/>
        </w:rPr>
        <w:t>KUHP dan Penjelasannya</w:t>
      </w:r>
      <w:r>
        <w:t>, (Surabaya: Usaha Nasional, 1980), hlm. 376.</w:t>
      </w:r>
    </w:p>
  </w:footnote>
  <w:footnote w:id="18">
    <w:p w14:paraId="767FD031" w14:textId="77777777" w:rsidR="005E6F2C" w:rsidRDefault="009C57C4" w:rsidP="006B7248">
      <w:pPr>
        <w:pStyle w:val="FootnoteText"/>
        <w:ind w:firstLine="709"/>
        <w:jc w:val="both"/>
      </w:pPr>
      <w:r>
        <w:rPr>
          <w:rStyle w:val="FootnoteCharacters"/>
        </w:rPr>
        <w:footnoteRef/>
      </w:r>
      <w:r>
        <w:t xml:space="preserve"> Undang-Undang Nomor 8 Tahun 1981 tentang Hukum Acara Pidana.</w:t>
      </w:r>
    </w:p>
  </w:footnote>
  <w:footnote w:id="19">
    <w:p w14:paraId="2062E036"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20">
    <w:p w14:paraId="0C404D90" w14:textId="77777777" w:rsidR="005E6F2C" w:rsidRDefault="009C57C4" w:rsidP="006B7248">
      <w:pPr>
        <w:pStyle w:val="FootnoteText"/>
        <w:ind w:firstLine="709"/>
        <w:jc w:val="both"/>
      </w:pPr>
      <w:r>
        <w:rPr>
          <w:rStyle w:val="FootnoteCharacters"/>
        </w:rPr>
        <w:footnoteRef/>
      </w:r>
      <w:r>
        <w:t xml:space="preserve"> M. Sudrajat Bassar, </w:t>
      </w:r>
      <w:r>
        <w:rPr>
          <w:rStyle w:val="Emphasis"/>
        </w:rPr>
        <w:t>Tindak-Tindak Pidana Tertentu di dalam KUHP</w:t>
      </w:r>
      <w:r>
        <w:t>, (Bandung: Remadja Karya, 1986), hlm. 79.</w:t>
      </w:r>
    </w:p>
  </w:footnote>
  <w:footnote w:id="21">
    <w:p w14:paraId="19EC4DE7" w14:textId="77777777" w:rsidR="005E6F2C" w:rsidRDefault="009C57C4" w:rsidP="006B7248">
      <w:pPr>
        <w:pStyle w:val="FootnoteText"/>
        <w:ind w:firstLine="709"/>
        <w:jc w:val="both"/>
      </w:pPr>
      <w:r>
        <w:rPr>
          <w:rStyle w:val="FootnoteCharacters"/>
        </w:rPr>
        <w:footnoteRef/>
      </w:r>
      <w:r>
        <w:t xml:space="preserve"> Berita Acara Pemeriksaan perkara pencurian dengan kekerasan di Polsek Dolok Masihul, 2025.</w:t>
      </w:r>
    </w:p>
  </w:footnote>
  <w:footnote w:id="22">
    <w:p w14:paraId="1975606D" w14:textId="77777777" w:rsidR="005E6F2C" w:rsidRDefault="009C57C4" w:rsidP="006B7248">
      <w:pPr>
        <w:pStyle w:val="FootnoteText"/>
        <w:ind w:firstLine="709"/>
        <w:jc w:val="both"/>
      </w:pPr>
      <w:r>
        <w:rPr>
          <w:rStyle w:val="FootnoteCharacters"/>
        </w:rPr>
        <w:footnoteRef/>
      </w:r>
      <w:r>
        <w:t xml:space="preserve"> Pasal 55</w:t>
      </w:r>
      <w:r>
        <w:rPr>
          <w:lang w:val="id-ID"/>
        </w:rPr>
        <w:t xml:space="preserve">, </w:t>
      </w:r>
      <w:r>
        <w:t>Kitab Undang-Undang Hukum Pidana</w:t>
      </w:r>
    </w:p>
  </w:footnote>
  <w:footnote w:id="23">
    <w:p w14:paraId="4700F057" w14:textId="77777777" w:rsidR="005E6F2C" w:rsidRDefault="009C57C4" w:rsidP="006B7248">
      <w:pPr>
        <w:pStyle w:val="FootnoteText"/>
        <w:ind w:firstLine="709"/>
        <w:jc w:val="both"/>
      </w:pPr>
      <w:r>
        <w:rPr>
          <w:rStyle w:val="FootnoteCharacters"/>
        </w:rPr>
        <w:footnoteRef/>
      </w:r>
      <w:r>
        <w:t xml:space="preserve"> Jan Remmelink, </w:t>
      </w:r>
      <w:r>
        <w:rPr>
          <w:rStyle w:val="Emphasis"/>
        </w:rPr>
        <w:t>Hukum Pidana: Komentar atas Pasal-Pasal Terpenting dari KUHP Belanda dan Padanannya dalam KUHP Indonesia</w:t>
      </w:r>
      <w:r>
        <w:t>, (Jakarta: Gramedia Pustaka Utama, 2003), hlm. 308.</w:t>
      </w:r>
    </w:p>
  </w:footnote>
  <w:footnote w:id="24">
    <w:p w14:paraId="0A112308"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25">
    <w:p w14:paraId="4E79B330" w14:textId="77777777" w:rsidR="005E6F2C" w:rsidRDefault="009C57C4" w:rsidP="006B7248">
      <w:pPr>
        <w:pStyle w:val="FootnoteText"/>
        <w:ind w:firstLine="709"/>
        <w:jc w:val="both"/>
      </w:pPr>
      <w:r>
        <w:rPr>
          <w:rStyle w:val="FootnoteCharacters"/>
        </w:rPr>
        <w:footnoteRef/>
      </w:r>
      <w:r>
        <w:t xml:space="preserve"> Hukumonline, “Perbedaan Penyertaan dan Bersekutu dalam KUHP,” diakses pada tanggal 8 Juni 2026.</w:t>
      </w:r>
    </w:p>
  </w:footnote>
  <w:footnote w:id="26">
    <w:p w14:paraId="2DDC04A4" w14:textId="77777777" w:rsidR="005E6F2C" w:rsidRDefault="009C57C4" w:rsidP="006B7248">
      <w:pPr>
        <w:pStyle w:val="FootnoteText"/>
        <w:ind w:firstLine="709"/>
        <w:jc w:val="both"/>
      </w:pPr>
      <w:r>
        <w:rPr>
          <w:rStyle w:val="FootnoteCharacters"/>
        </w:rPr>
        <w:footnoteRef/>
      </w:r>
      <w:r>
        <w:t xml:space="preserve"> M. Yahya Harahap, </w:t>
      </w:r>
      <w:r>
        <w:rPr>
          <w:rStyle w:val="Emphasis"/>
        </w:rPr>
        <w:t>Pembahasan Permasalahan dan Penerapan KUHAP: Penyidikan dan Penuntutan</w:t>
      </w:r>
      <w:r>
        <w:t>, (Jakarta: Sinar Grafika, 2012), hlm. 109.</w:t>
      </w:r>
    </w:p>
  </w:footnote>
  <w:footnote w:id="27">
    <w:p w14:paraId="6CAAD700" w14:textId="77777777" w:rsidR="005E6F2C" w:rsidRDefault="009C57C4" w:rsidP="006B7248">
      <w:pPr>
        <w:pStyle w:val="FootnoteText"/>
        <w:ind w:firstLine="709"/>
        <w:jc w:val="both"/>
      </w:pPr>
      <w:r>
        <w:rPr>
          <w:rStyle w:val="FootnoteCharacters"/>
        </w:rPr>
        <w:footnoteRef/>
      </w:r>
      <w:r>
        <w:t xml:space="preserve"> Lilik Mulyadi, </w:t>
      </w:r>
      <w:r>
        <w:rPr>
          <w:rStyle w:val="Emphasis"/>
        </w:rPr>
        <w:t>Hukum Acara Pidana Indonesia</w:t>
      </w:r>
      <w:r>
        <w:t>, (Bandung: Citra Aditya Bakti, 2012), hlm. 85.</w:t>
      </w:r>
    </w:p>
  </w:footnote>
  <w:footnote w:id="28">
    <w:p w14:paraId="71070984"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29">
    <w:p w14:paraId="36050A29" w14:textId="77777777" w:rsidR="005E6F2C" w:rsidRDefault="009C57C4" w:rsidP="006B7248">
      <w:pPr>
        <w:pStyle w:val="FootnoteText"/>
        <w:ind w:firstLine="709"/>
        <w:jc w:val="both"/>
      </w:pPr>
      <w:r>
        <w:rPr>
          <w:rStyle w:val="FootnoteCharacters"/>
        </w:rPr>
        <w:footnoteRef/>
      </w:r>
      <w:r>
        <w:t xml:space="preserve"> Pasal 1 angka 26 dan angka 27</w:t>
      </w:r>
      <w:r>
        <w:rPr>
          <w:lang w:val="id-ID"/>
        </w:rPr>
        <w:t xml:space="preserve">, </w:t>
      </w:r>
      <w:r>
        <w:t>Undang-Undang Nomor 8 Tahun 1981 tentang Hukum Acara Pidana</w:t>
      </w:r>
    </w:p>
  </w:footnote>
  <w:footnote w:id="30">
    <w:p w14:paraId="7A638E73" w14:textId="77777777" w:rsidR="005E6F2C" w:rsidRDefault="009C57C4" w:rsidP="006B7248">
      <w:pPr>
        <w:pStyle w:val="FootnoteText"/>
        <w:ind w:firstLine="709"/>
        <w:jc w:val="both"/>
      </w:pPr>
      <w:r>
        <w:rPr>
          <w:rStyle w:val="FootnoteCharacters"/>
        </w:rPr>
        <w:footnoteRef/>
      </w:r>
      <w:r>
        <w:t xml:space="preserve"> Rusli Muhammad, </w:t>
      </w:r>
      <w:r>
        <w:rPr>
          <w:rStyle w:val="Emphasis"/>
        </w:rPr>
        <w:t>Hukum Acara Pidana Kontemporer</w:t>
      </w:r>
      <w:r>
        <w:t>, (Bandung: Citra Aditya Bakti, 2007), hlm. 64.</w:t>
      </w:r>
    </w:p>
  </w:footnote>
  <w:footnote w:id="31">
    <w:p w14:paraId="585CBD86" w14:textId="77777777" w:rsidR="005E6F2C" w:rsidRDefault="009C57C4" w:rsidP="006B7248">
      <w:pPr>
        <w:pStyle w:val="FootnoteText"/>
        <w:ind w:firstLine="709"/>
        <w:jc w:val="both"/>
      </w:pPr>
      <w:r>
        <w:rPr>
          <w:rStyle w:val="FootnoteCharacters"/>
        </w:rPr>
        <w:footnoteRef/>
      </w:r>
      <w:r>
        <w:t xml:space="preserve"> Pasal 184</w:t>
      </w:r>
      <w:r>
        <w:rPr>
          <w:lang w:val="id-ID"/>
        </w:rPr>
        <w:t xml:space="preserve">, </w:t>
      </w:r>
      <w:r>
        <w:t>Undang-Undang Nomor 8 Tahun 1981 tentang Hukum Acara Pidana</w:t>
      </w:r>
    </w:p>
  </w:footnote>
  <w:footnote w:id="32">
    <w:p w14:paraId="78DF9F4F" w14:textId="77777777" w:rsidR="005E6F2C" w:rsidRDefault="009C57C4" w:rsidP="006B7248">
      <w:pPr>
        <w:pStyle w:val="FootnoteText"/>
        <w:ind w:firstLine="709"/>
        <w:jc w:val="both"/>
      </w:pPr>
      <w:r>
        <w:rPr>
          <w:rStyle w:val="FootnoteCharacters"/>
        </w:rPr>
        <w:footnoteRef/>
      </w:r>
      <w:r>
        <w:t xml:space="preserve"> Pasal 365 ayat (2)</w:t>
      </w:r>
      <w:r>
        <w:rPr>
          <w:lang w:val="id-ID"/>
        </w:rPr>
        <w:t xml:space="preserve">, </w:t>
      </w:r>
      <w:r>
        <w:t>Kitab Undang-Undang Hukum Pidana</w:t>
      </w:r>
    </w:p>
  </w:footnote>
  <w:footnote w:id="33">
    <w:p w14:paraId="35EF8D8A" w14:textId="77777777" w:rsidR="005E6F2C" w:rsidRDefault="009C57C4" w:rsidP="006B7248">
      <w:pPr>
        <w:pStyle w:val="FootnoteText"/>
        <w:ind w:firstLine="709"/>
        <w:jc w:val="both"/>
      </w:pPr>
      <w:r>
        <w:rPr>
          <w:rStyle w:val="FootnoteCharacters"/>
        </w:rPr>
        <w:footnoteRef/>
      </w:r>
      <w:r>
        <w:t xml:space="preserve"> Leden Marpaung, </w:t>
      </w:r>
      <w:r>
        <w:rPr>
          <w:rStyle w:val="Emphasis"/>
        </w:rPr>
        <w:t>Asas Teori Praktik Hukum Pidana</w:t>
      </w:r>
      <w:r>
        <w:t>, (Jakarta: Sinar Grafika, 2014), hlm. 78.</w:t>
      </w:r>
    </w:p>
  </w:footnote>
  <w:footnote w:id="34">
    <w:p w14:paraId="4215BA14"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35">
    <w:p w14:paraId="56906E07" w14:textId="77777777" w:rsidR="005E6F2C" w:rsidRDefault="009C57C4" w:rsidP="006B7248">
      <w:pPr>
        <w:pStyle w:val="FootnoteText"/>
        <w:ind w:firstLine="709"/>
        <w:jc w:val="both"/>
      </w:pPr>
      <w:r>
        <w:rPr>
          <w:rStyle w:val="FootnoteCharacters"/>
        </w:rPr>
        <w:footnoteRef/>
      </w:r>
      <w:r>
        <w:t xml:space="preserve"> Bambang Waluyo, </w:t>
      </w:r>
      <w:r>
        <w:rPr>
          <w:rStyle w:val="Emphasis"/>
        </w:rPr>
        <w:t>Pidana dan Pemidanaan</w:t>
      </w:r>
      <w:r>
        <w:t>, (Jakarta: Sinar Grafika, 2008), hlm. 33.</w:t>
      </w:r>
    </w:p>
  </w:footnote>
  <w:footnote w:id="36">
    <w:p w14:paraId="7DD9D76F" w14:textId="77777777" w:rsidR="005E6F2C" w:rsidRDefault="009C57C4" w:rsidP="006B7248">
      <w:pPr>
        <w:pStyle w:val="FootnoteText"/>
        <w:ind w:firstLine="709"/>
        <w:jc w:val="both"/>
      </w:pPr>
      <w:r>
        <w:rPr>
          <w:rStyle w:val="FootnoteCharacters"/>
        </w:rPr>
        <w:footnoteRef/>
      </w:r>
      <w:r>
        <w:t xml:space="preserve"> Hari Sasangka dan Lily Rosita, </w:t>
      </w:r>
      <w:r>
        <w:rPr>
          <w:rStyle w:val="Emphasis"/>
        </w:rPr>
        <w:t>Hukum Pembuktian dalam Perkara Pidana</w:t>
      </w:r>
      <w:r>
        <w:t>, (Bandung: Mandar Maju, 2003), hlm. 18.</w:t>
      </w:r>
    </w:p>
  </w:footnote>
  <w:footnote w:id="37">
    <w:p w14:paraId="292AB5D0" w14:textId="77777777" w:rsidR="005E6F2C" w:rsidRDefault="009C57C4" w:rsidP="006B7248">
      <w:pPr>
        <w:pStyle w:val="FootnoteText"/>
        <w:ind w:firstLine="709"/>
        <w:jc w:val="both"/>
      </w:pPr>
      <w:r>
        <w:rPr>
          <w:rStyle w:val="FootnoteCharacters"/>
        </w:rPr>
        <w:footnoteRef/>
      </w:r>
      <w:r>
        <w:t xml:space="preserve"> M. Yahya Harahap, </w:t>
      </w:r>
      <w:r>
        <w:rPr>
          <w:rStyle w:val="Emphasis"/>
        </w:rPr>
        <w:t>Pembahasan Permasalahan dan Penerapan KUHAP: Pemeriksaan Sidang Pengadilan, Banding, Kasasi, dan Peninjauan Kembali</w:t>
      </w:r>
      <w:r>
        <w:t>, (Jakarta: Sinar Grafika, 2012), hlm. 252.</w:t>
      </w:r>
    </w:p>
  </w:footnote>
  <w:footnote w:id="38">
    <w:p w14:paraId="668DA309"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39">
    <w:p w14:paraId="62B46C21" w14:textId="77777777" w:rsidR="005E6F2C" w:rsidRDefault="009C57C4" w:rsidP="006B7248">
      <w:pPr>
        <w:pStyle w:val="FootnoteText"/>
        <w:ind w:firstLine="709"/>
        <w:jc w:val="both"/>
      </w:pPr>
      <w:r>
        <w:rPr>
          <w:rStyle w:val="FootnoteCharacters"/>
        </w:rPr>
        <w:footnoteRef/>
      </w:r>
      <w:r>
        <w:t xml:space="preserve"> Pasal 362 dan Pasal 365 Kitab Undang-Undang Hukum Pidana.</w:t>
      </w:r>
    </w:p>
  </w:footnote>
  <w:footnote w:id="40">
    <w:p w14:paraId="3EA5225A" w14:textId="77777777" w:rsidR="005E6F2C" w:rsidRDefault="009C57C4" w:rsidP="006B7248">
      <w:pPr>
        <w:pStyle w:val="FootnoteText"/>
        <w:ind w:firstLine="709"/>
        <w:jc w:val="both"/>
      </w:pPr>
      <w:r>
        <w:rPr>
          <w:rStyle w:val="FootnoteCharacters"/>
        </w:rPr>
        <w:footnoteRef/>
      </w:r>
      <w:r>
        <w:t xml:space="preserve"> R. Soesilo, Kitab Undang-Undang Hukum Pidana serta Komentar-Komentarnya Lengkap Pasal Demi Pasal, (Bogor: Politeia, 1995), hlm. 253.</w:t>
      </w:r>
    </w:p>
  </w:footnote>
  <w:footnote w:id="41">
    <w:p w14:paraId="6023B3E8" w14:textId="77777777" w:rsidR="005E6F2C" w:rsidRDefault="009C57C4" w:rsidP="006B7248">
      <w:pPr>
        <w:pStyle w:val="FootnoteText"/>
        <w:ind w:firstLine="709"/>
        <w:jc w:val="both"/>
      </w:pPr>
      <w:r>
        <w:rPr>
          <w:rStyle w:val="FootnoteCharacters"/>
        </w:rPr>
        <w:footnoteRef/>
      </w:r>
      <w:r>
        <w:t xml:space="preserve"> P.A.F. Lamintang dan Theo Lamintang, Delik-Delik Khusus Kejahatan terhadap Harta Kekayaan, (Jakarta: Sinar Grafika, 2009), hlm. 51.</w:t>
      </w:r>
    </w:p>
  </w:footnote>
  <w:footnote w:id="42">
    <w:p w14:paraId="54B9A39F" w14:textId="77777777" w:rsidR="005E6F2C" w:rsidRDefault="009C57C4" w:rsidP="006B7248">
      <w:pPr>
        <w:pStyle w:val="FootnoteText"/>
        <w:ind w:firstLine="709"/>
        <w:jc w:val="both"/>
      </w:pPr>
      <w:r>
        <w:rPr>
          <w:rStyle w:val="FootnoteCharacters"/>
        </w:rPr>
        <w:footnoteRef/>
      </w:r>
      <w:r>
        <w:t xml:space="preserve"> Pasal 365 ayat (1) Kitab Undang-Undang Hukum Pidana.</w:t>
      </w:r>
    </w:p>
  </w:footnote>
  <w:footnote w:id="43">
    <w:p w14:paraId="70C6EA84" w14:textId="77777777" w:rsidR="005E6F2C" w:rsidRDefault="009C57C4" w:rsidP="006B7248">
      <w:pPr>
        <w:pStyle w:val="FootnoteText"/>
        <w:ind w:firstLine="709"/>
        <w:jc w:val="both"/>
      </w:pPr>
      <w:r>
        <w:rPr>
          <w:rStyle w:val="FootnoteCharacters"/>
        </w:rPr>
        <w:footnoteRef/>
      </w:r>
      <w:r>
        <w:t xml:space="preserve"> Pasal 365 ayat (2) ke-2 Kitab Undang-Undang Hukum Pidana.</w:t>
      </w:r>
    </w:p>
  </w:footnote>
  <w:footnote w:id="44">
    <w:p w14:paraId="1A1FCF67" w14:textId="77777777" w:rsidR="005E6F2C" w:rsidRDefault="009C57C4" w:rsidP="006B7248">
      <w:pPr>
        <w:pStyle w:val="FootnoteText"/>
        <w:ind w:firstLine="709"/>
        <w:jc w:val="both"/>
      </w:pPr>
      <w:r>
        <w:rPr>
          <w:rStyle w:val="FootnoteCharacters"/>
        </w:rPr>
        <w:footnoteRef/>
      </w:r>
      <w:r>
        <w:t xml:space="preserve"> Pasal 184 ayat (1) Undang-Undang Republik Indonesia Nomor 8 Tahun 1981 tentang Hukum Acara Pidana.</w:t>
      </w:r>
    </w:p>
  </w:footnote>
  <w:footnote w:id="45">
    <w:p w14:paraId="51646939" w14:textId="77777777" w:rsidR="005E6F2C" w:rsidRDefault="009C57C4" w:rsidP="006B7248">
      <w:pPr>
        <w:pStyle w:val="FootnoteText"/>
        <w:ind w:firstLine="709"/>
        <w:jc w:val="both"/>
      </w:pPr>
      <w:r>
        <w:rPr>
          <w:rStyle w:val="FootnoteCharacters"/>
        </w:rPr>
        <w:footnoteRef/>
      </w:r>
      <w:r>
        <w:t xml:space="preserve"> M. Yahya Harahap, Pembahasan Permasalahan dan Penerapan KUHAP: Penyidikan dan Penuntutan, (Jakarta: Sinar Grafika, 2012), hlm. 134.</w:t>
      </w:r>
    </w:p>
  </w:footnote>
  <w:footnote w:id="46">
    <w:p w14:paraId="1425A280" w14:textId="77777777" w:rsidR="005E6F2C" w:rsidRDefault="009C57C4" w:rsidP="006B7248">
      <w:pPr>
        <w:pStyle w:val="FootnoteText"/>
        <w:ind w:firstLine="709"/>
        <w:jc w:val="both"/>
      </w:pPr>
      <w:r>
        <w:rPr>
          <w:rStyle w:val="FootnoteCharacters"/>
        </w:rPr>
        <w:footnoteRef/>
      </w:r>
      <w:r>
        <w:t xml:space="preserve"> Andi Hamzah, Hukum Acara Pidana Indonesia, (Jakarta: Sinar Grafika, 2014), hlm. 120.</w:t>
      </w:r>
    </w:p>
  </w:footnote>
  <w:footnote w:id="47">
    <w:p w14:paraId="02D7C678" w14:textId="77777777" w:rsidR="005E6F2C" w:rsidRDefault="009C57C4" w:rsidP="006B7248">
      <w:pPr>
        <w:pStyle w:val="FootnoteText"/>
        <w:ind w:firstLine="709"/>
        <w:jc w:val="both"/>
      </w:pPr>
      <w:r>
        <w:rPr>
          <w:rStyle w:val="FootnoteCharacters"/>
        </w:rPr>
        <w:footnoteRef/>
      </w:r>
      <w:r>
        <w:t xml:space="preserve"> Adami Chazawi, Kejahatan terhadap Harta Benda, (Malang: Bayumedia Publishing, 2006), hlm. 5.</w:t>
      </w:r>
    </w:p>
  </w:footnote>
  <w:footnote w:id="48">
    <w:p w14:paraId="2AE5A563" w14:textId="77777777" w:rsidR="005E6F2C" w:rsidRDefault="009C57C4" w:rsidP="006B7248">
      <w:pPr>
        <w:pStyle w:val="FootnoteText"/>
        <w:ind w:firstLine="709"/>
        <w:jc w:val="both"/>
      </w:pPr>
      <w:r>
        <w:rPr>
          <w:rStyle w:val="FootnoteCharacters"/>
        </w:rPr>
        <w:footnoteRef/>
      </w:r>
      <w:r>
        <w:t xml:space="preserve"> Teguh Prasetyo, Hukum Pidana, (Jakarta: RajaGrafindo Persada, 2016), hlm. 139.</w:t>
      </w:r>
    </w:p>
  </w:footnote>
  <w:footnote w:id="49">
    <w:p w14:paraId="47069EDC" w14:textId="77777777" w:rsidR="005E6F2C" w:rsidRDefault="009C57C4" w:rsidP="006B7248">
      <w:pPr>
        <w:pStyle w:val="FootnoteText"/>
        <w:ind w:firstLine="709"/>
        <w:jc w:val="both"/>
      </w:pPr>
      <w:r>
        <w:rPr>
          <w:rStyle w:val="FootnoteCharacters"/>
        </w:rPr>
        <w:footnoteRef/>
      </w:r>
      <w:r>
        <w:t xml:space="preserve"> P.A.F. Lamintang dan Theo Lamintang, </w:t>
      </w:r>
      <w:r>
        <w:rPr>
          <w:rStyle w:val="Emphasis"/>
        </w:rPr>
        <w:t>Delik-Delik Khusus: Kejahatan terhadap Harta Kekayaan</w:t>
      </w:r>
      <w:r>
        <w:t>, (Jakarta: Sinar Grafika, 2009), hlm. 57.</w:t>
      </w:r>
    </w:p>
  </w:footnote>
  <w:footnote w:id="50">
    <w:p w14:paraId="64092ADF" w14:textId="77777777" w:rsidR="005E6F2C" w:rsidRDefault="009C57C4" w:rsidP="006B7248">
      <w:pPr>
        <w:pStyle w:val="FootnoteText"/>
        <w:ind w:firstLine="709"/>
        <w:jc w:val="both"/>
      </w:pPr>
      <w:r>
        <w:rPr>
          <w:rStyle w:val="FootnoteCharacters"/>
        </w:rPr>
        <w:footnoteRef/>
      </w:r>
      <w:r>
        <w:t xml:space="preserve"> Berita Acara Pemeriksaan saksi korban Jhon Crist Purba dalam perkara pencurian dengan kekerasan di Polsek Dolok Masihul, 23 Desember 2025, hlm. 1.</w:t>
      </w:r>
    </w:p>
  </w:footnote>
  <w:footnote w:id="51">
    <w:p w14:paraId="4EBE9BC1" w14:textId="77777777" w:rsidR="005E6F2C" w:rsidRDefault="009C57C4" w:rsidP="006B7248">
      <w:pPr>
        <w:pStyle w:val="FootnoteText"/>
        <w:ind w:firstLine="709"/>
        <w:jc w:val="both"/>
      </w:pPr>
      <w:r>
        <w:rPr>
          <w:rStyle w:val="FootnoteCharacters"/>
        </w:rPr>
        <w:footnoteRef/>
      </w:r>
      <w:r>
        <w:t xml:space="preserve"> Berita Acara Pemeriksaan saksi korban Jhon Crist Purba dalam perkara pencurian dengan kekerasan di Polsek Dolok Masihul, 23 Desember 2025, hlm. 2.</w:t>
      </w:r>
    </w:p>
  </w:footnote>
  <w:footnote w:id="52">
    <w:p w14:paraId="016A26CA" w14:textId="77777777" w:rsidR="005E6F2C" w:rsidRDefault="009C57C4" w:rsidP="006B7248">
      <w:pPr>
        <w:pStyle w:val="FootnoteText"/>
        <w:ind w:firstLine="709"/>
        <w:jc w:val="both"/>
      </w:pPr>
      <w:r>
        <w:rPr>
          <w:rStyle w:val="FootnoteCharacters"/>
        </w:rPr>
        <w:footnoteRef/>
      </w:r>
      <w:r>
        <w:t xml:space="preserve"> Berita Acara Pemeriksaan saksi korban Jhon Crist Purba dalam perkara pencurian dengan kekerasan di Polsek Dolok Masihul, 23 Desember 2025, hlm. 2-3.</w:t>
      </w:r>
    </w:p>
  </w:footnote>
  <w:footnote w:id="53">
    <w:p w14:paraId="605EC788" w14:textId="77777777" w:rsidR="005E6F2C" w:rsidRDefault="009C57C4" w:rsidP="006B7248">
      <w:pPr>
        <w:pStyle w:val="FootnoteText"/>
        <w:ind w:firstLine="709"/>
        <w:jc w:val="both"/>
      </w:pPr>
      <w:r>
        <w:rPr>
          <w:rStyle w:val="FootnoteCharacters"/>
        </w:rPr>
        <w:footnoteRef/>
      </w:r>
      <w:r>
        <w:t xml:space="preserve"> Berita Acara Pemeriksaan tersangka Toni Leonardo Sitorus alias Toni dalam perkara pencurian dengan kekerasan di Polsek Dolok Masihul, 23 Desember 2025, hlm. 13.</w:t>
      </w:r>
    </w:p>
  </w:footnote>
  <w:footnote w:id="54">
    <w:p w14:paraId="2F19966F" w14:textId="77777777" w:rsidR="005E6F2C" w:rsidRDefault="009C57C4" w:rsidP="006B7248">
      <w:pPr>
        <w:pStyle w:val="FootnoteText"/>
        <w:ind w:firstLine="709"/>
        <w:jc w:val="both"/>
      </w:pPr>
      <w:r>
        <w:rPr>
          <w:rStyle w:val="FootnoteCharacters"/>
        </w:rPr>
        <w:footnoteRef/>
      </w:r>
      <w:r>
        <w:t xml:space="preserve"> Berita Acara Pemeriksaan tersangka Toni Leonardo Sitorus alias Toni dalam perkara pencurian dengan kekerasan di Polsek Dolok Masihul, 23 Desember 2025, hlm. 15.</w:t>
      </w:r>
    </w:p>
  </w:footnote>
  <w:footnote w:id="55">
    <w:p w14:paraId="03ACE018"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11.</w:t>
      </w:r>
    </w:p>
  </w:footnote>
  <w:footnote w:id="56">
    <w:p w14:paraId="1A1D9BF0" w14:textId="77777777" w:rsidR="005E6F2C" w:rsidRDefault="009C57C4" w:rsidP="006B7248">
      <w:pPr>
        <w:pStyle w:val="FootnoteText"/>
        <w:ind w:firstLine="709"/>
        <w:jc w:val="both"/>
      </w:pPr>
      <w:r>
        <w:rPr>
          <w:rStyle w:val="FootnoteCharacters"/>
        </w:rPr>
        <w:footnoteRef/>
      </w:r>
      <w:r>
        <w:t xml:space="preserve"> Berita Acara Pemeriksaan tersangka Toni Leonardo Sitorus alias Toni dalam perkara pencurian dengan kekerasan di Polsek Dolok Masihul, 23 Desember 2025, hlm. 14-15.</w:t>
      </w:r>
    </w:p>
  </w:footnote>
  <w:footnote w:id="57">
    <w:p w14:paraId="7CF407E5" w14:textId="77777777" w:rsidR="005E6F2C" w:rsidRDefault="009C57C4" w:rsidP="006B7248">
      <w:pPr>
        <w:pStyle w:val="FootnoteText"/>
        <w:ind w:firstLine="709"/>
        <w:jc w:val="both"/>
      </w:pPr>
      <w:r>
        <w:rPr>
          <w:rStyle w:val="FootnoteCharacters"/>
        </w:rPr>
        <w:footnoteRef/>
      </w:r>
      <w:r>
        <w:t xml:space="preserve"> Berita Acara Pemeriksaan saksi Sanggam Agustinus Pangaribuan dalam perkara pencurian dengan kekerasan di Polsek Dolok Masihul, 23 Desember 2025, hlm. 6-7.</w:t>
      </w:r>
    </w:p>
  </w:footnote>
  <w:footnote w:id="58">
    <w:p w14:paraId="38DFE7DC" w14:textId="77777777" w:rsidR="005E6F2C" w:rsidRDefault="009C57C4" w:rsidP="006B7248">
      <w:pPr>
        <w:pStyle w:val="FootnoteText"/>
        <w:ind w:firstLine="709"/>
        <w:jc w:val="both"/>
      </w:pPr>
      <w:r>
        <w:rPr>
          <w:rStyle w:val="FootnoteCharacters"/>
        </w:rPr>
        <w:footnoteRef/>
      </w:r>
      <w:r>
        <w:t xml:space="preserve"> Berita Acara Pemeriksaan saksi Sanggam Agustinus Pangaribuan dalam perkara pencurian dengan kekerasan di Polsek Dolok Masihul, 23 Desember 2025, hlm. 7.</w:t>
      </w:r>
    </w:p>
  </w:footnote>
  <w:footnote w:id="59">
    <w:p w14:paraId="00CEAC95" w14:textId="77777777" w:rsidR="005E6F2C" w:rsidRDefault="009C57C4" w:rsidP="006B7248">
      <w:pPr>
        <w:pStyle w:val="FootnoteText"/>
        <w:ind w:firstLine="709"/>
        <w:jc w:val="both"/>
      </w:pPr>
      <w:r>
        <w:rPr>
          <w:rStyle w:val="FootnoteCharacters"/>
        </w:rPr>
        <w:footnoteRef/>
      </w:r>
      <w:r>
        <w:t xml:space="preserve"> Berita Acara Pemeriksaan saksi Lamsihar Br Lubis alias Bembeng dalam perkara pencurian dengan kekerasan di Polsek Dolok Masihul, 23 Desember 2025, hlm. 4-5.</w:t>
      </w:r>
    </w:p>
  </w:footnote>
  <w:footnote w:id="60">
    <w:p w14:paraId="13BF7273" w14:textId="77777777" w:rsidR="005E6F2C" w:rsidRDefault="009C57C4" w:rsidP="006B7248">
      <w:pPr>
        <w:pStyle w:val="FootnoteText"/>
        <w:ind w:firstLine="709"/>
        <w:jc w:val="both"/>
      </w:pPr>
      <w:r>
        <w:rPr>
          <w:rStyle w:val="FootnoteCharacters"/>
        </w:rPr>
        <w:footnoteRef/>
      </w:r>
      <w:r>
        <w:t xml:space="preserve"> Berita Acara Pemeriksaan saksi korban Jhon Crist Purba dalam perkara pencurian dengan kekerasan di Polsek Dolok Masihul, 23 Desember 2025, hlm. 2-3.</w:t>
      </w:r>
    </w:p>
  </w:footnote>
  <w:footnote w:id="61">
    <w:p w14:paraId="32966099"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w:t>
      </w:r>
    </w:p>
  </w:footnote>
  <w:footnote w:id="62">
    <w:p w14:paraId="4E04A31D"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10-11.</w:t>
      </w:r>
    </w:p>
  </w:footnote>
  <w:footnote w:id="63">
    <w:p w14:paraId="22F26358"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10-11.</w:t>
      </w:r>
    </w:p>
  </w:footnote>
  <w:footnote w:id="64">
    <w:p w14:paraId="47D9F3FF"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10-11.</w:t>
      </w:r>
    </w:p>
  </w:footnote>
  <w:footnote w:id="65">
    <w:p w14:paraId="0F724CFD"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10-11.</w:t>
      </w:r>
    </w:p>
  </w:footnote>
  <w:footnote w:id="66">
    <w:p w14:paraId="2F004719"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10-11.</w:t>
      </w:r>
    </w:p>
  </w:footnote>
  <w:footnote w:id="67">
    <w:p w14:paraId="38B464F9" w14:textId="77777777" w:rsidR="005E6F2C" w:rsidRDefault="009C57C4" w:rsidP="006B7248">
      <w:pPr>
        <w:pStyle w:val="FootnoteText"/>
        <w:ind w:firstLine="672"/>
        <w:jc w:val="both"/>
      </w:pPr>
      <w:r>
        <w:rPr>
          <w:rStyle w:val="FootnoteCharacters"/>
        </w:rPr>
        <w:footnoteRef/>
      </w:r>
      <w:r>
        <w:t xml:space="preserve"> Leden Marpaung, </w:t>
      </w:r>
      <w:r>
        <w:rPr>
          <w:rStyle w:val="Emphasis"/>
        </w:rPr>
        <w:t>Asas Teori Praktik Hukum Pidana</w:t>
      </w:r>
      <w:r>
        <w:t>, (Jakarta: Sinar Grafika, 2014), hlm. 78.</w:t>
      </w:r>
    </w:p>
  </w:footnote>
  <w:footnote w:id="68">
    <w:p w14:paraId="7B926498" w14:textId="77777777" w:rsidR="005E6F2C" w:rsidRDefault="009C57C4" w:rsidP="006B7248">
      <w:pPr>
        <w:pStyle w:val="FootnoteText"/>
        <w:ind w:firstLine="709"/>
        <w:jc w:val="both"/>
      </w:pPr>
      <w:r>
        <w:rPr>
          <w:rStyle w:val="FootnoteCharacters"/>
        </w:rPr>
        <w:footnoteRef/>
      </w:r>
      <w:r>
        <w:t xml:space="preserve"> Berita Acara Pemeriksaan tersangka Toni Leonardo Sitorus alias Toni dalam perkara pencurian dengan kekerasan di Polsek Dolok Masihul, 23 Desember 2025, hlm. 14.</w:t>
      </w:r>
    </w:p>
  </w:footnote>
  <w:footnote w:id="69">
    <w:p w14:paraId="3A2A07A4" w14:textId="77777777" w:rsidR="005E6F2C" w:rsidRDefault="009C57C4" w:rsidP="006B7248">
      <w:pPr>
        <w:pStyle w:val="FootnoteText"/>
        <w:ind w:firstLine="709"/>
        <w:jc w:val="both"/>
      </w:pPr>
      <w:r>
        <w:rPr>
          <w:rStyle w:val="FootnoteCharacters"/>
        </w:rPr>
        <w:footnoteRef/>
      </w:r>
      <w:r>
        <w:t xml:space="preserve"> Adami Chazawi, </w:t>
      </w:r>
      <w:r>
        <w:rPr>
          <w:rStyle w:val="Emphasis"/>
        </w:rPr>
        <w:t>Pelajaran Hukum Pidana Bagian 3: Percobaan dan Penyertaan</w:t>
      </w:r>
      <w:r>
        <w:t>, (Jakarta: RajaGrafindo Persada, 2011), hlm. 73.</w:t>
      </w:r>
    </w:p>
  </w:footnote>
  <w:footnote w:id="70">
    <w:p w14:paraId="7973F21F" w14:textId="6F4DE75D"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71">
    <w:p w14:paraId="701C7D67" w14:textId="31C0E963"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72">
    <w:p w14:paraId="1003D939" w14:textId="642BCEF2"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73">
    <w:p w14:paraId="7EB11C78" w14:textId="77E94C57"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74">
    <w:p w14:paraId="6B9E33B5" w14:textId="6673DCA3"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75">
    <w:p w14:paraId="2F329A5F"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76">
    <w:p w14:paraId="4358EC7A"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77">
    <w:p w14:paraId="4574E67A" w14:textId="77777777" w:rsidR="005E6F2C" w:rsidRDefault="009C57C4" w:rsidP="006B7248">
      <w:pPr>
        <w:pStyle w:val="FootnoteText"/>
        <w:ind w:firstLine="709"/>
        <w:jc w:val="both"/>
      </w:pPr>
      <w:r>
        <w:rPr>
          <w:rStyle w:val="FootnoteCharacters"/>
        </w:rPr>
        <w:footnoteRef/>
      </w:r>
      <w:r>
        <w:t xml:space="preserve"> Berita Acara Pemeriksaan saksi Lamsihar Br Lubis alias Bembeng dalam perkara pencurian dengan kekerasan di Polsek Dolok Masihul, 23 Desember 2025, hlm. 5.</w:t>
      </w:r>
    </w:p>
  </w:footnote>
  <w:footnote w:id="78">
    <w:p w14:paraId="30BAAE36"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Rajawali Pers, 2017), hlm. 105.</w:t>
      </w:r>
    </w:p>
  </w:footnote>
  <w:footnote w:id="79">
    <w:p w14:paraId="04BA29EF" w14:textId="77777777" w:rsidR="005E6F2C" w:rsidRDefault="009C57C4" w:rsidP="006B7248">
      <w:pPr>
        <w:pStyle w:val="FootnoteText"/>
        <w:ind w:firstLine="709"/>
        <w:jc w:val="both"/>
      </w:pPr>
      <w:r>
        <w:rPr>
          <w:rStyle w:val="FootnoteCharacters"/>
        </w:rPr>
        <w:footnoteRef/>
      </w:r>
      <w:r>
        <w:t xml:space="preserve"> Pasal 365 ayat (1)</w:t>
      </w:r>
      <w:r>
        <w:rPr>
          <w:lang w:val="id-ID"/>
        </w:rPr>
        <w:t xml:space="preserve">, </w:t>
      </w:r>
      <w:r>
        <w:t>Kitab Undang-Undang Hukum Pidana</w:t>
      </w:r>
    </w:p>
  </w:footnote>
  <w:footnote w:id="80">
    <w:p w14:paraId="74E760E8" w14:textId="77777777" w:rsidR="005E6F2C" w:rsidRDefault="009C57C4" w:rsidP="006B7248">
      <w:pPr>
        <w:pStyle w:val="FootnoteText"/>
        <w:ind w:firstLine="709"/>
        <w:jc w:val="both"/>
      </w:pPr>
      <w:r>
        <w:rPr>
          <w:rStyle w:val="FootnoteCharacters"/>
        </w:rPr>
        <w:footnoteRef/>
      </w:r>
      <w:r>
        <w:t xml:space="preserve"> Eddy O.S. Hiariej, </w:t>
      </w:r>
      <w:r>
        <w:rPr>
          <w:rStyle w:val="Emphasis"/>
        </w:rPr>
        <w:t>Prinsip-Prinsip Hukum Pidana</w:t>
      </w:r>
      <w:r>
        <w:t>, (Yogyakarta: Cahaya Atma Pustaka, 2016), hlm. 133.</w:t>
      </w:r>
    </w:p>
  </w:footnote>
  <w:footnote w:id="81">
    <w:p w14:paraId="6B7D8F20" w14:textId="77777777" w:rsidR="005E6F2C" w:rsidRDefault="009C57C4" w:rsidP="006B7248">
      <w:pPr>
        <w:pStyle w:val="FootnoteText"/>
        <w:ind w:firstLine="709"/>
        <w:jc w:val="both"/>
      </w:pPr>
      <w:r>
        <w:rPr>
          <w:rStyle w:val="FootnoteCharacters"/>
        </w:rPr>
        <w:footnoteRef/>
      </w:r>
      <w:r>
        <w:t xml:space="preserve"> Berita Acara Pemeriksaan saksi Sanggam Agustinus Pangaribuan dalam perkara pencurian dengan kekerasan di Polsek Dolok Masihul, 23 Desember 2025, hlm. 7.</w:t>
      </w:r>
    </w:p>
  </w:footnote>
  <w:footnote w:id="82">
    <w:p w14:paraId="4AE8BFBA" w14:textId="77777777" w:rsidR="005E6F2C" w:rsidRDefault="009C57C4" w:rsidP="006B7248">
      <w:pPr>
        <w:pStyle w:val="FootnoteText"/>
        <w:ind w:firstLine="709"/>
        <w:jc w:val="both"/>
      </w:pPr>
      <w:r>
        <w:rPr>
          <w:rStyle w:val="FootnoteCharacters"/>
        </w:rPr>
        <w:footnoteRef/>
      </w:r>
      <w:r>
        <w:t xml:space="preserve"> Andi Hamzah, </w:t>
      </w:r>
      <w:r>
        <w:rPr>
          <w:rStyle w:val="Emphasis"/>
        </w:rPr>
        <w:t>Hukum Acara Pidana Indonesia</w:t>
      </w:r>
      <w:r>
        <w:t>, (Jakarta: Sinar Grafika, 2016), hlm. 119.</w:t>
      </w:r>
    </w:p>
  </w:footnote>
  <w:footnote w:id="83">
    <w:p w14:paraId="5E101B35"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10-12.</w:t>
      </w:r>
    </w:p>
  </w:footnote>
  <w:footnote w:id="84">
    <w:p w14:paraId="2AF0BBE3" w14:textId="77777777" w:rsidR="005E6F2C" w:rsidRDefault="009C57C4" w:rsidP="006B7248">
      <w:pPr>
        <w:pStyle w:val="FootnoteText"/>
        <w:ind w:firstLine="709"/>
        <w:jc w:val="both"/>
      </w:pPr>
      <w:r>
        <w:rPr>
          <w:rStyle w:val="FootnoteCharacters"/>
        </w:rPr>
        <w:footnoteRef/>
      </w:r>
      <w:r>
        <w:t xml:space="preserve"> Wirjono Prodjodikoro, </w:t>
      </w:r>
      <w:r>
        <w:rPr>
          <w:rStyle w:val="Emphasis"/>
        </w:rPr>
        <w:t>Tindak-Tindak Pidana Tertentu di Indonesia</w:t>
      </w:r>
      <w:r>
        <w:t>, (Bandung: Refika Aditama, 2012), hlm. 21.</w:t>
      </w:r>
    </w:p>
  </w:footnote>
  <w:footnote w:id="85">
    <w:p w14:paraId="7064C210"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86">
    <w:p w14:paraId="6475CE68" w14:textId="77777777" w:rsidR="005E6F2C" w:rsidRDefault="009C57C4" w:rsidP="006B7248">
      <w:pPr>
        <w:pStyle w:val="FootnoteText"/>
        <w:ind w:firstLine="709"/>
        <w:jc w:val="both"/>
      </w:pPr>
      <w:r>
        <w:rPr>
          <w:rStyle w:val="FootnoteCharacters"/>
        </w:rPr>
        <w:footnoteRef/>
      </w:r>
      <w:r>
        <w:t xml:space="preserve"> Berita Acara Pemeriksaan tersangka Toni Leonardo Sitorus alias Toni dalam perkara pencurian dengan kekerasan di Polsek Dolok Masihul, 23 Desember 2025, hlm. 16.</w:t>
      </w:r>
    </w:p>
  </w:footnote>
  <w:footnote w:id="87">
    <w:p w14:paraId="167C4985" w14:textId="77777777" w:rsidR="005E6F2C" w:rsidRDefault="009C57C4" w:rsidP="006B7248">
      <w:pPr>
        <w:pStyle w:val="FootnoteText"/>
        <w:ind w:firstLine="709"/>
        <w:jc w:val="both"/>
      </w:pPr>
      <w:r>
        <w:rPr>
          <w:rStyle w:val="FootnoteCharacters"/>
        </w:rPr>
        <w:footnoteRef/>
      </w:r>
      <w:r>
        <w:t xml:space="preserve"> Adami Chazawi, Pelajaran Hukum Pidana Bagian 3: Percobaan dan Penyertaan, (Jakarta: RajaGrafindo Persada, 2011), hlm. 71.</w:t>
      </w:r>
    </w:p>
  </w:footnote>
  <w:footnote w:id="88">
    <w:p w14:paraId="391D2FB6" w14:textId="77777777" w:rsidR="005E6F2C" w:rsidRDefault="009C57C4" w:rsidP="006B7248">
      <w:pPr>
        <w:pStyle w:val="FootnoteText"/>
        <w:ind w:firstLine="709"/>
        <w:jc w:val="both"/>
      </w:pPr>
      <w:r>
        <w:rPr>
          <w:rStyle w:val="FootnoteCharacters"/>
        </w:rPr>
        <w:footnoteRef/>
      </w:r>
      <w:r>
        <w:t xml:space="preserve"> Pasal 365 ayat (1) Kitab Undang-Undang Hukum Pidana.</w:t>
      </w:r>
    </w:p>
  </w:footnote>
  <w:footnote w:id="89">
    <w:p w14:paraId="2FBC1C08" w14:textId="77777777" w:rsidR="005E6F2C" w:rsidRDefault="009C57C4" w:rsidP="006B7248">
      <w:pPr>
        <w:pStyle w:val="FootnoteText"/>
        <w:ind w:firstLine="709"/>
        <w:jc w:val="both"/>
      </w:pPr>
      <w:r>
        <w:rPr>
          <w:rStyle w:val="FootnoteCharacters"/>
        </w:rPr>
        <w:footnoteRef/>
      </w:r>
      <w:r>
        <w:t xml:space="preserve"> Pasal 55 ayat (1) ke-1 Kitab Undang-Undang Hukum Pidana.</w:t>
      </w:r>
    </w:p>
  </w:footnote>
  <w:footnote w:id="90">
    <w:p w14:paraId="5E8C1A3F" w14:textId="77777777" w:rsidR="005E6F2C" w:rsidRDefault="009C57C4" w:rsidP="006B7248">
      <w:pPr>
        <w:pStyle w:val="FootnoteText"/>
        <w:ind w:firstLine="709"/>
        <w:jc w:val="both"/>
      </w:pPr>
      <w:r>
        <w:rPr>
          <w:rStyle w:val="FootnoteCharacters"/>
        </w:rPr>
        <w:footnoteRef/>
      </w:r>
      <w:r>
        <w:t xml:space="preserve"> Pasal 55 dan Pasal 56 Kitab Undang-Undang Hukum Pidana.</w:t>
      </w:r>
    </w:p>
  </w:footnote>
  <w:footnote w:id="91">
    <w:p w14:paraId="3FD7DDB2" w14:textId="77777777" w:rsidR="005E6F2C" w:rsidRDefault="009C57C4" w:rsidP="006B7248">
      <w:pPr>
        <w:pStyle w:val="FootnoteText"/>
        <w:ind w:firstLine="709"/>
        <w:jc w:val="both"/>
      </w:pPr>
      <w:r>
        <w:rPr>
          <w:rStyle w:val="FootnoteCharacters"/>
        </w:rPr>
        <w:footnoteRef/>
      </w:r>
      <w:r>
        <w:t xml:space="preserve"> E.Y. Kanter dan S.R. Sianturi, Asas-Asas Hukum Pidana di Indonesia dan Penerapannya, (Jakarta: Storia Grafika, 2012), hlm. 337.</w:t>
      </w:r>
    </w:p>
  </w:footnote>
  <w:footnote w:id="92">
    <w:p w14:paraId="5760C456" w14:textId="77777777" w:rsidR="005E6F2C" w:rsidRDefault="009C57C4" w:rsidP="006B7248">
      <w:pPr>
        <w:pStyle w:val="FootnoteText"/>
        <w:ind w:firstLine="709"/>
        <w:jc w:val="both"/>
      </w:pPr>
      <w:r>
        <w:rPr>
          <w:rStyle w:val="FootnoteCharacters"/>
        </w:rPr>
        <w:footnoteRef/>
      </w:r>
      <w:r>
        <w:t xml:space="preserve"> Pasal 7 ayat (1) huruf g Undang-Undang Republik Indonesia Nomor 8 Tahun 1981 tentang Hukum Acara Pidana.</w:t>
      </w:r>
    </w:p>
  </w:footnote>
  <w:footnote w:id="93">
    <w:p w14:paraId="36590CCE" w14:textId="77777777" w:rsidR="005E6F2C" w:rsidRDefault="009C57C4" w:rsidP="006B7248">
      <w:pPr>
        <w:pStyle w:val="FootnoteText"/>
        <w:ind w:firstLine="709"/>
        <w:jc w:val="both"/>
      </w:pPr>
      <w:r>
        <w:rPr>
          <w:rStyle w:val="FootnoteCharacters"/>
        </w:rPr>
        <w:footnoteRef/>
      </w:r>
      <w:r>
        <w:t xml:space="preserve"> Pasal 185 ayat (1) Undang-Undang Republik Indonesia Nomor 8 Tahun 1981 tentang Hukum Acara Pidana.</w:t>
      </w:r>
    </w:p>
  </w:footnote>
  <w:footnote w:id="94">
    <w:p w14:paraId="114D1474" w14:textId="77777777" w:rsidR="005E6F2C" w:rsidRDefault="009C57C4" w:rsidP="006B7248">
      <w:pPr>
        <w:pStyle w:val="FootnoteText"/>
        <w:ind w:firstLine="709"/>
        <w:jc w:val="both"/>
      </w:pPr>
      <w:r>
        <w:rPr>
          <w:rStyle w:val="FootnoteCharacters"/>
        </w:rPr>
        <w:footnoteRef/>
      </w:r>
      <w:r>
        <w:t xml:space="preserve"> Pasal 39 ayat (1) Undang-Undang Republik Indonesia Nomor 8 Tahun 1981 tentang Hukum Acara Pidana.</w:t>
      </w:r>
    </w:p>
  </w:footnote>
  <w:footnote w:id="95">
    <w:p w14:paraId="551662E8" w14:textId="77777777" w:rsidR="005E6F2C" w:rsidRDefault="009C57C4" w:rsidP="006B7248">
      <w:pPr>
        <w:pStyle w:val="FootnoteText"/>
        <w:ind w:firstLine="709"/>
        <w:jc w:val="both"/>
      </w:pPr>
      <w:r>
        <w:rPr>
          <w:rStyle w:val="FootnoteCharacters"/>
        </w:rPr>
        <w:footnoteRef/>
      </w:r>
      <w:r>
        <w:t xml:space="preserve"> Chairul Huda, Dari Tiada Pidana Tanpa Kesalahan Menuju Kepada Tiada Pertanggungjawaban Pidana Tanpa Kesalahan, (Jakarta: Kencana, 2011), hlm. 64.</w:t>
      </w:r>
    </w:p>
  </w:footnote>
  <w:footnote w:id="96">
    <w:p w14:paraId="56DD4408" w14:textId="77777777" w:rsidR="005E6F2C" w:rsidRDefault="009C57C4" w:rsidP="006B7248">
      <w:pPr>
        <w:pStyle w:val="FootnoteText"/>
        <w:ind w:firstLine="709"/>
        <w:jc w:val="both"/>
      </w:pPr>
      <w:r>
        <w:rPr>
          <w:rStyle w:val="FootnoteCharacters"/>
        </w:rPr>
        <w:footnoteRef/>
      </w:r>
      <w:r>
        <w:t xml:space="preserve"> M. Yahya Harahap, Pembahasan Permasalahan dan Penerapan KUHAP: Penyidikan dan Penuntutan, (Jakarta: Sinar Grafika, 2012), hlm. 265.</w:t>
      </w:r>
    </w:p>
  </w:footnote>
  <w:footnote w:id="97">
    <w:p w14:paraId="0187DA60" w14:textId="77777777" w:rsidR="005E6F2C" w:rsidRDefault="009C57C4" w:rsidP="006B7248">
      <w:pPr>
        <w:pStyle w:val="FootnoteText"/>
        <w:ind w:firstLine="709"/>
        <w:jc w:val="both"/>
      </w:pPr>
      <w:r>
        <w:rPr>
          <w:rStyle w:val="FootnoteCharacters"/>
        </w:rPr>
        <w:footnoteRef/>
      </w:r>
      <w:r>
        <w:t xml:space="preserve"> Moeljatno, </w:t>
      </w:r>
      <w:r>
        <w:rPr>
          <w:rStyle w:val="Emphasis"/>
        </w:rPr>
        <w:t>Asas-Asas Hukum Pidana</w:t>
      </w:r>
      <w:r>
        <w:t>, (Jakarta: Rineka Cipta, 2008), hlm. 54.</w:t>
      </w:r>
    </w:p>
  </w:footnote>
  <w:footnote w:id="98">
    <w:p w14:paraId="53D144D4" w14:textId="77777777" w:rsidR="005E6F2C" w:rsidRDefault="009C57C4" w:rsidP="006B7248">
      <w:pPr>
        <w:pStyle w:val="FootnoteText"/>
        <w:ind w:firstLine="709"/>
        <w:jc w:val="both"/>
      </w:pPr>
      <w:r>
        <w:rPr>
          <w:rStyle w:val="FootnoteCharacters"/>
        </w:rPr>
        <w:footnoteRef/>
      </w:r>
      <w:r>
        <w:t xml:space="preserve"> Pasal 365 ayat (1)</w:t>
      </w:r>
      <w:r>
        <w:rPr>
          <w:lang w:val="id-ID"/>
        </w:rPr>
        <w:t xml:space="preserve">, </w:t>
      </w:r>
      <w:r>
        <w:t>Kitab Undang-Undang Hukum Pidana</w:t>
      </w:r>
    </w:p>
  </w:footnote>
  <w:footnote w:id="99">
    <w:p w14:paraId="1E4A5C73" w14:textId="77777777" w:rsidR="005E6F2C" w:rsidRDefault="009C57C4" w:rsidP="006B7248">
      <w:pPr>
        <w:pStyle w:val="FootnoteText"/>
        <w:ind w:firstLine="709"/>
        <w:jc w:val="both"/>
      </w:pPr>
      <w:r>
        <w:rPr>
          <w:rStyle w:val="FootnoteCharacters"/>
        </w:rPr>
        <w:footnoteRef/>
      </w:r>
      <w:r>
        <w:t xml:space="preserve"> Berita Acara Pemeriksaan saksi korban Jhon Crist Purba dalam perkara pencurian dengan kekerasan di Polsek Dolok Masihul, 23 Desember 2025, hlm. 2.</w:t>
      </w:r>
    </w:p>
  </w:footnote>
  <w:footnote w:id="100">
    <w:p w14:paraId="25C96825"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01">
    <w:p w14:paraId="3AAD080B"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02">
    <w:p w14:paraId="1B1A551B" w14:textId="77777777" w:rsidR="005E6F2C" w:rsidRDefault="009C57C4" w:rsidP="006B7248">
      <w:pPr>
        <w:pStyle w:val="FootnoteText"/>
        <w:ind w:firstLine="709"/>
        <w:jc w:val="both"/>
      </w:pPr>
      <w:r>
        <w:rPr>
          <w:rStyle w:val="FootnoteCharacters"/>
        </w:rPr>
        <w:footnoteRef/>
      </w:r>
      <w:r>
        <w:t xml:space="preserve"> Adami Chazawi, </w:t>
      </w:r>
      <w:r>
        <w:rPr>
          <w:rStyle w:val="Emphasis"/>
        </w:rPr>
        <w:t>Kejahatan terhadap Harta Benda</w:t>
      </w:r>
      <w:r>
        <w:t>, (Malang: Bayumedia, 2011), hlm. 5.</w:t>
      </w:r>
    </w:p>
  </w:footnote>
  <w:footnote w:id="103">
    <w:p w14:paraId="5C3FAEBE" w14:textId="77777777" w:rsidR="005E6F2C" w:rsidRDefault="009C57C4" w:rsidP="006B7248">
      <w:pPr>
        <w:pStyle w:val="FootnoteText"/>
        <w:ind w:firstLine="709"/>
        <w:jc w:val="both"/>
      </w:pPr>
      <w:r>
        <w:rPr>
          <w:rStyle w:val="FootnoteCharacters"/>
        </w:rPr>
        <w:footnoteRef/>
      </w:r>
      <w:r>
        <w:t xml:space="preserve"> Berita Acara Pemeriksaan saksi korban Jhon Crist Purba dalam perkara pencurian dengan kekerasan di Polsek Dolok Masihul, 23 Desember 2025, hlm. 2-3.</w:t>
      </w:r>
    </w:p>
  </w:footnote>
  <w:footnote w:id="104">
    <w:p w14:paraId="121FA93C"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05">
    <w:p w14:paraId="63AC2016"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06">
    <w:p w14:paraId="5D57DC29" w14:textId="77777777" w:rsidR="005E6F2C" w:rsidRDefault="009C57C4" w:rsidP="006B7248">
      <w:pPr>
        <w:pStyle w:val="FootnoteText"/>
        <w:ind w:firstLine="709"/>
        <w:jc w:val="both"/>
      </w:pPr>
      <w:r>
        <w:rPr>
          <w:rStyle w:val="FootnoteCharacters"/>
        </w:rPr>
        <w:footnoteRef/>
      </w:r>
      <w:r>
        <w:t xml:space="preserve"> Pasal 55</w:t>
      </w:r>
      <w:r>
        <w:rPr>
          <w:lang w:val="id-ID"/>
        </w:rPr>
        <w:t xml:space="preserve">, </w:t>
      </w:r>
      <w:r>
        <w:t>Kitab Undang-Undang Hukum Pidana</w:t>
      </w:r>
    </w:p>
  </w:footnote>
  <w:footnote w:id="107">
    <w:p w14:paraId="0EA5E784"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11.</w:t>
      </w:r>
    </w:p>
  </w:footnote>
  <w:footnote w:id="108">
    <w:p w14:paraId="0DAF6588"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09">
    <w:p w14:paraId="1CD6DD30"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10">
    <w:p w14:paraId="79F0388D"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11">
    <w:p w14:paraId="0FB66952"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12">
    <w:p w14:paraId="63F31813" w14:textId="77777777" w:rsidR="005E6F2C" w:rsidRDefault="009C57C4" w:rsidP="006B7248">
      <w:pPr>
        <w:pStyle w:val="FootnoteText"/>
        <w:ind w:firstLine="709"/>
        <w:jc w:val="both"/>
      </w:pPr>
      <w:r>
        <w:rPr>
          <w:rStyle w:val="FootnoteCharacters"/>
        </w:rPr>
        <w:footnoteRef/>
      </w:r>
      <w:r>
        <w:t xml:space="preserve"> Eddy O.S. Hiariej, </w:t>
      </w:r>
      <w:r>
        <w:rPr>
          <w:rStyle w:val="Emphasis"/>
        </w:rPr>
        <w:t>Prinsip-Prinsip Hukum Pidana</w:t>
      </w:r>
      <w:r>
        <w:t>, (Yogyakarta: Cahaya Atma Pustaka, 2016), hlm. 121.</w:t>
      </w:r>
    </w:p>
  </w:footnote>
  <w:footnote w:id="113">
    <w:p w14:paraId="7FEF6DF6"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Rajawali Pers, 2017), hlm. 103.</w:t>
      </w:r>
    </w:p>
  </w:footnote>
  <w:footnote w:id="114">
    <w:p w14:paraId="1F5A6723" w14:textId="77777777" w:rsidR="005E6F2C" w:rsidRDefault="009C57C4" w:rsidP="006B7248">
      <w:pPr>
        <w:pStyle w:val="FootnoteText"/>
        <w:ind w:firstLine="709"/>
        <w:jc w:val="both"/>
      </w:pPr>
      <w:r>
        <w:rPr>
          <w:rStyle w:val="FootnoteCharacters"/>
        </w:rPr>
        <w:footnoteRef/>
      </w:r>
      <w:r>
        <w:t xml:space="preserve"> Berita Acara Pemeriksaan saksi Lamsihar Br Lubis alias Bembeng dalam perkara pencurian dengan kekerasan di Polsek Dolok Masihul, 23 Desember 2025, hlm. 4-5.</w:t>
      </w:r>
    </w:p>
  </w:footnote>
  <w:footnote w:id="115">
    <w:p w14:paraId="6A336B6D" w14:textId="77777777" w:rsidR="005E6F2C" w:rsidRDefault="009C57C4" w:rsidP="006B7248">
      <w:pPr>
        <w:pStyle w:val="FootnoteText"/>
        <w:ind w:firstLine="709"/>
        <w:jc w:val="both"/>
      </w:pPr>
      <w:r>
        <w:rPr>
          <w:rStyle w:val="FootnoteCharacters"/>
        </w:rPr>
        <w:footnoteRef/>
      </w:r>
      <w:r>
        <w:t xml:space="preserve"> P.A.F. Lamintang, </w:t>
      </w:r>
      <w:r>
        <w:rPr>
          <w:rStyle w:val="Emphasis"/>
        </w:rPr>
        <w:t>Dasar-Dasar Hukum Pidana Indonesia</w:t>
      </w:r>
      <w:r>
        <w:t>, (Bandung: Citra Aditya Bakti, 2013), hlm. 193.</w:t>
      </w:r>
    </w:p>
  </w:footnote>
  <w:footnote w:id="116">
    <w:p w14:paraId="51AD19E6" w14:textId="29A6251F"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117">
    <w:p w14:paraId="78C77C92" w14:textId="7ED3A097"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118">
    <w:p w14:paraId="1802DC16" w14:textId="730C8429"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119">
    <w:p w14:paraId="40C1F2F6" w14:textId="5529D8A8"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120">
    <w:p w14:paraId="6B929F55" w14:textId="06CAA779" w:rsidR="00C501DE" w:rsidRDefault="00D728E3" w:rsidP="006B7248">
      <w:pPr>
        <w:pStyle w:val="FootnoteText"/>
        <w:ind w:firstLine="709"/>
        <w:jc w:val="both"/>
      </w:pPr>
      <w:r>
        <w:rPr>
          <w:rStyle w:val="FootnoteCharacters"/>
        </w:rPr>
        <w:footnoteRef/>
      </w:r>
      <w:r w:rsidR="006B7248">
        <w:t xml:space="preserve"> Hasil wawancara IPDA Ismail Har, S.H., NRP 86081141, selaku Penyidik Polsek Dolok Masihul pada tanggal 2 Juni 2026</w:t>
      </w:r>
    </w:p>
  </w:footnote>
  <w:footnote w:id="121">
    <w:p w14:paraId="72F76328"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122">
    <w:p w14:paraId="17A3E94C"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123">
    <w:p w14:paraId="0639D484" w14:textId="77777777" w:rsidR="005E6F2C" w:rsidRDefault="009C57C4" w:rsidP="006B7248">
      <w:pPr>
        <w:pStyle w:val="FootnoteText"/>
        <w:ind w:firstLine="709"/>
        <w:jc w:val="both"/>
      </w:pPr>
      <w:r>
        <w:rPr>
          <w:rStyle w:val="FootnoteCharacters"/>
        </w:rPr>
        <w:footnoteRef/>
      </w:r>
      <w:r>
        <w:t xml:space="preserve"> Berita Acara Pemeriksaan saksi Sanggam Agustinus Pangaribuan dalam perkara pencurian dengan kekerasan di Polsek Dolok Masihul, 23 Desember 2025, hlm. 6-7.</w:t>
      </w:r>
    </w:p>
  </w:footnote>
  <w:footnote w:id="124">
    <w:p w14:paraId="739A7F80"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125">
    <w:p w14:paraId="091A5082" w14:textId="77777777" w:rsidR="005E6F2C" w:rsidRDefault="009C57C4" w:rsidP="006B7248">
      <w:pPr>
        <w:pStyle w:val="FootnoteText"/>
        <w:ind w:firstLine="709"/>
        <w:jc w:val="both"/>
      </w:pPr>
      <w:r>
        <w:rPr>
          <w:rStyle w:val="FootnoteCharacters"/>
        </w:rPr>
        <w:footnoteRef/>
      </w:r>
      <w:r>
        <w:t xml:space="preserve"> M. Yahya Harahap, </w:t>
      </w:r>
      <w:r>
        <w:rPr>
          <w:rStyle w:val="Emphasis"/>
        </w:rPr>
        <w:t>Pembahasan Permasalahan dan Penerapan KUHAP: Penyidikan dan Penuntutan</w:t>
      </w:r>
      <w:r>
        <w:t>, (Jakarta: Sinar Grafika, 2012), hlm. 109.</w:t>
      </w:r>
    </w:p>
  </w:footnote>
  <w:footnote w:id="126">
    <w:p w14:paraId="518F3A35" w14:textId="77777777" w:rsidR="005E6F2C" w:rsidRDefault="009C57C4" w:rsidP="006B7248">
      <w:pPr>
        <w:pStyle w:val="FootnoteText"/>
        <w:ind w:firstLine="709"/>
        <w:jc w:val="both"/>
      </w:pPr>
      <w:r>
        <w:rPr>
          <w:rStyle w:val="FootnoteCharacters"/>
        </w:rPr>
        <w:footnoteRef/>
      </w:r>
      <w:r>
        <w:t xml:space="preserve"> Jan Remmelink, </w:t>
      </w:r>
      <w:r>
        <w:rPr>
          <w:rStyle w:val="Emphasis"/>
        </w:rPr>
        <w:t>Hukum Pidana: Komentar atas Pasal-Pasal Terpenting dari KUHP Belanda dan Padanannya dalam KUHP Indonesia</w:t>
      </w:r>
      <w:r>
        <w:t>, (Jakarta: Gramedia Pustaka Utama, 2003), hlm. 308.</w:t>
      </w:r>
    </w:p>
  </w:footnote>
  <w:footnote w:id="127">
    <w:p w14:paraId="7EB8D8D2" w14:textId="77777777" w:rsidR="005E6F2C" w:rsidRDefault="009C57C4" w:rsidP="006B7248">
      <w:pPr>
        <w:pStyle w:val="FootnoteText"/>
        <w:ind w:firstLine="709"/>
        <w:jc w:val="both"/>
      </w:pPr>
      <w:r>
        <w:rPr>
          <w:rStyle w:val="FootnoteCharacters"/>
        </w:rPr>
        <w:footnoteRef/>
      </w:r>
      <w:r>
        <w:t xml:space="preserve"> Leden Marpaung, </w:t>
      </w:r>
      <w:r>
        <w:rPr>
          <w:rStyle w:val="Emphasis"/>
        </w:rPr>
        <w:t>Asas Teori Praktik Hukum Pidana</w:t>
      </w:r>
      <w:r>
        <w:t>, (Jakarta: Sinar Grafika, 2014), hlm. 78.</w:t>
      </w:r>
    </w:p>
  </w:footnote>
  <w:footnote w:id="128">
    <w:p w14:paraId="1462DAC4" w14:textId="77777777" w:rsidR="005E6F2C" w:rsidRDefault="009C57C4" w:rsidP="006B7248">
      <w:pPr>
        <w:pStyle w:val="FootnoteText"/>
        <w:ind w:firstLine="709"/>
        <w:jc w:val="both"/>
      </w:pPr>
      <w:r>
        <w:rPr>
          <w:rStyle w:val="FootnoteCharacters"/>
        </w:rPr>
        <w:footnoteRef/>
      </w:r>
      <w:r>
        <w:t xml:space="preserve"> R. Soesilo, </w:t>
      </w:r>
      <w:r>
        <w:rPr>
          <w:rStyle w:val="Emphasis"/>
        </w:rPr>
        <w:t>Kitab Undang-Undang Hukum Pidana serta Komentar-Komentarnya Lengkap Pasal demi Pasal</w:t>
      </w:r>
      <w:r>
        <w:t>, (Bogor: Politeia, 1995), hlm. 254.</w:t>
      </w:r>
    </w:p>
  </w:footnote>
  <w:footnote w:id="129">
    <w:p w14:paraId="2F6F4907" w14:textId="77777777" w:rsidR="005E6F2C" w:rsidRDefault="009C57C4" w:rsidP="006B7248">
      <w:pPr>
        <w:pStyle w:val="FootnoteText"/>
        <w:ind w:firstLine="709"/>
        <w:jc w:val="both"/>
      </w:pPr>
      <w:r>
        <w:rPr>
          <w:rStyle w:val="FootnoteCharacters"/>
        </w:rPr>
        <w:footnoteRef/>
      </w:r>
      <w:r>
        <w:t xml:space="preserve"> Wirjono Prodjodikoro, </w:t>
      </w:r>
      <w:r>
        <w:rPr>
          <w:rStyle w:val="Emphasis"/>
        </w:rPr>
        <w:t>Tindak-Tindak Pidana Tertentu di Indonesia</w:t>
      </w:r>
      <w:r>
        <w:t>, (Bandung: Refika Aditama, 2012), hlm. 21.</w:t>
      </w:r>
    </w:p>
  </w:footnote>
  <w:footnote w:id="130">
    <w:p w14:paraId="5B515161" w14:textId="77777777" w:rsidR="005E6F2C" w:rsidRDefault="009C57C4" w:rsidP="006B7248">
      <w:pPr>
        <w:pStyle w:val="FootnoteText"/>
        <w:ind w:firstLine="709"/>
        <w:jc w:val="both"/>
      </w:pPr>
      <w:r>
        <w:rPr>
          <w:rStyle w:val="FootnoteCharacters"/>
        </w:rPr>
        <w:footnoteRef/>
      </w:r>
      <w:r>
        <w:t xml:space="preserve"> Berita Acara Pemeriksaan tersangka Martin Harahap alias Martin dalam perkara pencurian dengan kekerasan di Polsek Dolok Masihul, 23 Desember 2025, hlm. 10-11.</w:t>
      </w:r>
    </w:p>
  </w:footnote>
  <w:footnote w:id="131">
    <w:p w14:paraId="59ABED26" w14:textId="77777777" w:rsidR="005E6F2C" w:rsidRDefault="009C57C4" w:rsidP="006B7248">
      <w:pPr>
        <w:pStyle w:val="FootnoteText"/>
        <w:ind w:firstLine="709"/>
        <w:jc w:val="both"/>
      </w:pPr>
      <w:r>
        <w:rPr>
          <w:rStyle w:val="FootnoteCharacters"/>
        </w:rPr>
        <w:footnoteRef/>
      </w:r>
      <w:r>
        <w:t xml:space="preserve"> Pasal 365 ayat (2)</w:t>
      </w:r>
      <w:r>
        <w:rPr>
          <w:lang w:val="id-ID"/>
        </w:rPr>
        <w:t xml:space="preserve">, </w:t>
      </w:r>
      <w:r>
        <w:t>Kitab Undang-Undang Hukum Pidana</w:t>
      </w:r>
    </w:p>
  </w:footnote>
  <w:footnote w:id="132">
    <w:p w14:paraId="33B5AEC3"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133">
    <w:p w14:paraId="5BFE2E27" w14:textId="77777777" w:rsidR="005E6F2C" w:rsidRDefault="009C57C4" w:rsidP="006B7248">
      <w:pPr>
        <w:pStyle w:val="FootnoteText"/>
        <w:ind w:firstLine="709"/>
        <w:jc w:val="both"/>
      </w:pPr>
      <w:r>
        <w:rPr>
          <w:rStyle w:val="FootnoteCharacters"/>
        </w:rPr>
        <w:footnoteRef/>
      </w:r>
      <w:r>
        <w:t xml:space="preserve"> Hasil wawancara dengan BRIPKA Pordinan H. Naeak, S.H., NRP 88050559, selaku Penyidik Pembantu Polsek Dolok Masihul pada tanggal 2 Juni 2026.</w:t>
      </w:r>
    </w:p>
  </w:footnote>
  <w:footnote w:id="134">
    <w:p w14:paraId="413D7AAA" w14:textId="77777777" w:rsidR="005E6F2C" w:rsidRDefault="009C57C4" w:rsidP="006B7248">
      <w:pPr>
        <w:pStyle w:val="FootnoteText"/>
        <w:ind w:firstLine="709"/>
        <w:jc w:val="both"/>
      </w:pPr>
      <w:r>
        <w:rPr>
          <w:rStyle w:val="FootnoteCharacters"/>
        </w:rPr>
        <w:footnoteRef/>
      </w:r>
      <w:r>
        <w:t xml:space="preserve"> Moeljatno, Asas-Asas Hukum Pidana, (Jakarta: Rineka Cipta, 2008), hlm. 59.</w:t>
      </w:r>
    </w:p>
  </w:footnote>
  <w:footnote w:id="135">
    <w:p w14:paraId="6E97A632" w14:textId="77777777" w:rsidR="005E6F2C" w:rsidRDefault="009C57C4" w:rsidP="006B7248">
      <w:pPr>
        <w:pStyle w:val="FootnoteText"/>
        <w:ind w:firstLine="709"/>
        <w:jc w:val="both"/>
      </w:pPr>
      <w:r>
        <w:rPr>
          <w:rStyle w:val="FootnoteCharacters"/>
        </w:rPr>
        <w:footnoteRef/>
      </w:r>
      <w:r>
        <w:t xml:space="preserve"> Pasal 362 Kitab Undang-Undang Hukum Pidana.</w:t>
      </w:r>
    </w:p>
  </w:footnote>
  <w:footnote w:id="136">
    <w:p w14:paraId="4ACFAF38" w14:textId="77777777" w:rsidR="005E6F2C" w:rsidRDefault="009C57C4" w:rsidP="006B7248">
      <w:pPr>
        <w:pStyle w:val="FootnoteText"/>
        <w:ind w:firstLine="709"/>
        <w:jc w:val="both"/>
      </w:pPr>
      <w:r>
        <w:rPr>
          <w:rStyle w:val="FootnoteCharacters"/>
        </w:rPr>
        <w:footnoteRef/>
      </w:r>
      <w:r>
        <w:t xml:space="preserve"> Pasal 365 ayat (1) Kitab Undang-Undang Hukum Pidana.</w:t>
      </w:r>
    </w:p>
  </w:footnote>
  <w:footnote w:id="137">
    <w:p w14:paraId="1C81D648" w14:textId="77777777" w:rsidR="005E6F2C" w:rsidRDefault="009C57C4" w:rsidP="006B7248">
      <w:pPr>
        <w:pStyle w:val="FootnoteText"/>
        <w:ind w:firstLine="709"/>
        <w:jc w:val="both"/>
      </w:pPr>
      <w:r>
        <w:rPr>
          <w:rStyle w:val="FootnoteCharacters"/>
        </w:rPr>
        <w:footnoteRef/>
      </w:r>
      <w:r>
        <w:t xml:space="preserve"> Pasal 55 ayat (1) Kitab Undang-Undang Hukum Pidana.</w:t>
      </w:r>
    </w:p>
  </w:footnote>
  <w:footnote w:id="138">
    <w:p w14:paraId="3C0640F4" w14:textId="77777777" w:rsidR="005E6F2C" w:rsidRDefault="009C57C4" w:rsidP="006B7248">
      <w:pPr>
        <w:pStyle w:val="FootnoteText"/>
        <w:ind w:firstLine="709"/>
        <w:jc w:val="both"/>
      </w:pPr>
      <w:r>
        <w:rPr>
          <w:rStyle w:val="FootnoteCharacters"/>
        </w:rPr>
        <w:footnoteRef/>
      </w:r>
      <w:r>
        <w:t xml:space="preserve"> Roeslan Saleh, Perbuatan Pidana dan Pertanggungjawaban Pidana, (Jakarta: Aksara Baru, 1983), hlm. 75.</w:t>
      </w:r>
    </w:p>
  </w:footnote>
  <w:footnote w:id="139">
    <w:p w14:paraId="56F69E57" w14:textId="77777777" w:rsidR="005E6F2C" w:rsidRDefault="009C57C4" w:rsidP="006B7248">
      <w:pPr>
        <w:pStyle w:val="FootnoteText"/>
        <w:ind w:firstLine="709"/>
        <w:jc w:val="both"/>
      </w:pPr>
      <w:r>
        <w:rPr>
          <w:rStyle w:val="FootnoteCharacters"/>
        </w:rPr>
        <w:footnoteRef/>
      </w:r>
      <w:r>
        <w:t xml:space="preserve"> Bambang Poernomo, Asas-Asas Hukum Pidana, (Jakarta: Ghalia Indonesia, 1992), hlm. 130.</w:t>
      </w:r>
    </w:p>
  </w:footnote>
  <w:footnote w:id="140">
    <w:p w14:paraId="4E25574E" w14:textId="77777777" w:rsidR="005E6F2C" w:rsidRDefault="009C57C4" w:rsidP="006B7248">
      <w:pPr>
        <w:pStyle w:val="FootnoteText"/>
        <w:ind w:firstLine="709"/>
        <w:jc w:val="both"/>
      </w:pPr>
      <w:r>
        <w:rPr>
          <w:rStyle w:val="FootnoteCharacters"/>
        </w:rPr>
        <w:footnoteRef/>
      </w:r>
      <w:r>
        <w:t xml:space="preserve"> Utrecht, Hukum Pidana I, (Surabaya: Pustaka Tinta Mas, 1986), hlm. 251.</w:t>
      </w:r>
    </w:p>
  </w:footnote>
  <w:footnote w:id="141">
    <w:p w14:paraId="0993342A" w14:textId="77777777" w:rsidR="005E6F2C" w:rsidRDefault="009C57C4" w:rsidP="006B7248">
      <w:pPr>
        <w:pStyle w:val="FootnoteText"/>
        <w:ind w:firstLine="709"/>
        <w:jc w:val="both"/>
      </w:pPr>
      <w:r>
        <w:rPr>
          <w:rStyle w:val="FootnoteCharacters"/>
        </w:rPr>
        <w:footnoteRef/>
      </w:r>
      <w:r>
        <w:t xml:space="preserve"> E.Y. Kanter dan S.R. Sianturi, Asas-Asas Hukum Pidana di Indonesia dan Penerapannya, (Jakarta: Storia Grafika, 2012), hlm. 166.</w:t>
      </w:r>
    </w:p>
  </w:footnote>
  <w:footnote w:id="142">
    <w:p w14:paraId="6F44E727" w14:textId="77777777" w:rsidR="005E6F2C" w:rsidRDefault="009C57C4" w:rsidP="006B7248">
      <w:pPr>
        <w:pStyle w:val="FootnoteText"/>
        <w:ind w:firstLine="709"/>
        <w:jc w:val="both"/>
      </w:pPr>
      <w:r>
        <w:rPr>
          <w:rStyle w:val="FootnoteCharacters"/>
        </w:rPr>
        <w:footnoteRef/>
      </w:r>
      <w:r>
        <w:t xml:space="preserve"> Pasal 184 ayat (1) Undang-Undang Republik Indonesia Nomor 8 Tahun 1981 tentang Hukum Acara Pidana.</w:t>
      </w:r>
    </w:p>
  </w:footnote>
  <w:footnote w:id="143">
    <w:p w14:paraId="4164B057" w14:textId="77777777" w:rsidR="005E6F2C" w:rsidRDefault="009C57C4" w:rsidP="006B7248">
      <w:pPr>
        <w:pStyle w:val="FootnoteText"/>
        <w:ind w:firstLine="709"/>
        <w:jc w:val="both"/>
      </w:pPr>
      <w:r>
        <w:rPr>
          <w:rStyle w:val="FootnoteCharacters"/>
        </w:rPr>
        <w:footnoteRef/>
      </w:r>
      <w:r>
        <w:t xml:space="preserve"> Pasal 365 Kitab Undang-Undang Hukum Pidana jo. Pasal 55 Kitab Undang-Undang Hukum Pidana.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69D85" w14:textId="06F5A3C1" w:rsidR="005D6D9F" w:rsidRDefault="005D6D9F">
    <w:pPr>
      <w:pStyle w:val="Header"/>
    </w:pPr>
    <w:r>
      <w:rPr>
        <w:noProof/>
      </w:rPr>
      <w:pict w14:anchorId="1897C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293422" o:spid="_x0000_s2065" type="#_x0000_t75" style="position:absolute;margin-left:0;margin-top:0;width:396.45pt;height:390.95pt;z-index:-25164185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1269A38B" w:rsidR="005E6F2C" w:rsidRDefault="005D6D9F">
    <w:pPr>
      <w:pStyle w:val="Header"/>
      <w:jc w:val="right"/>
    </w:pPr>
    <w:r>
      <w:rPr>
        <w:noProof/>
      </w:rPr>
      <w:pict w14:anchorId="79B3B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293423" o:spid="_x0000_s2066" type="#_x0000_t75" style="position:absolute;left:0;text-align:left;margin-left:0;margin-top:0;width:396.45pt;height:390.95pt;z-index:-25164083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Pr>
        <w:noProof/>
      </w:rPr>
      <w:t>2</w:t>
    </w:r>
    <w:r w:rsidR="009C57C4">
      <w:fldChar w:fldCharType="end"/>
    </w:r>
  </w:p>
  <w:p w14:paraId="5D30684E" w14:textId="77777777" w:rsidR="005E6F2C" w:rsidRDefault="005E6F2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5804A383" w:rsidR="005E6F2C" w:rsidRDefault="005D6D9F">
    <w:pPr>
      <w:pStyle w:val="Header"/>
    </w:pPr>
    <w:r>
      <w:rPr>
        <w:noProof/>
      </w:rPr>
      <w:pict w14:anchorId="4501C2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293421" o:spid="_x0000_s2064" type="#_x0000_t75" style="position:absolute;margin-left:0;margin-top:0;width:396.45pt;height:390.95pt;z-index:-25164288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hyphenationZone w:val="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6018B"/>
    <w:rsid w:val="00103A55"/>
    <w:rsid w:val="0012082D"/>
    <w:rsid w:val="0012507D"/>
    <w:rsid w:val="001762AD"/>
    <w:rsid w:val="002249AF"/>
    <w:rsid w:val="00271660"/>
    <w:rsid w:val="00295DA4"/>
    <w:rsid w:val="002D6330"/>
    <w:rsid w:val="00413A30"/>
    <w:rsid w:val="00481D99"/>
    <w:rsid w:val="004A7187"/>
    <w:rsid w:val="00560193"/>
    <w:rsid w:val="00590457"/>
    <w:rsid w:val="005D6D9F"/>
    <w:rsid w:val="005E6F2C"/>
    <w:rsid w:val="006B3A37"/>
    <w:rsid w:val="006B7248"/>
    <w:rsid w:val="006E7FC8"/>
    <w:rsid w:val="00712266"/>
    <w:rsid w:val="0072287D"/>
    <w:rsid w:val="007C17E3"/>
    <w:rsid w:val="00953761"/>
    <w:rsid w:val="009C57C4"/>
    <w:rsid w:val="009E3D9D"/>
    <w:rsid w:val="00A0571E"/>
    <w:rsid w:val="00AA082D"/>
    <w:rsid w:val="00AF72AB"/>
    <w:rsid w:val="00B822FC"/>
    <w:rsid w:val="00C05DF9"/>
    <w:rsid w:val="00C501DE"/>
    <w:rsid w:val="00C66659"/>
    <w:rsid w:val="00D24EA3"/>
    <w:rsid w:val="00D728E3"/>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614C3-FA0C-4243-A3AF-838190B8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10370</Words>
  <Characters>59111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2026-09-18T05:09:00Z</dcterms:created>
  <dcterms:modified xsi:type="dcterms:W3CDTF">2026-09-18T05:09:00Z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