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A8B8A2" w14:textId="77777777" w:rsidR="00314325" w:rsidRPr="00283E51" w:rsidRDefault="00314325" w:rsidP="00314325">
      <w:pPr>
        <w:spacing w:line="480" w:lineRule="auto"/>
        <w:jc w:val="center"/>
        <w:rPr>
          <w:b/>
        </w:rPr>
      </w:pPr>
      <w:bookmarkStart w:id="0" w:name="_GoBack"/>
      <w:bookmarkEnd w:id="0"/>
      <w:r w:rsidRPr="00283E51">
        <w:rPr>
          <w:b/>
        </w:rPr>
        <w:t>BAB I</w:t>
      </w:r>
      <w:r>
        <w:rPr>
          <w:b/>
        </w:rPr>
        <w:t>V</w:t>
      </w:r>
    </w:p>
    <w:p w14:paraId="58C02AE4" w14:textId="77777777" w:rsidR="00314325" w:rsidRPr="00283E51" w:rsidRDefault="00314325" w:rsidP="00314325">
      <w:pPr>
        <w:spacing w:line="480" w:lineRule="auto"/>
        <w:jc w:val="center"/>
        <w:rPr>
          <w:b/>
        </w:rPr>
      </w:pPr>
      <w:r>
        <w:rPr>
          <w:b/>
        </w:rPr>
        <w:t>HASIL PENELITIAN DAN PEMBAHASAN</w:t>
      </w:r>
    </w:p>
    <w:p w14:paraId="5F3A5966" w14:textId="77777777" w:rsidR="00314325" w:rsidRPr="00283E51" w:rsidRDefault="00314325" w:rsidP="00314325">
      <w:pPr>
        <w:rPr>
          <w:b/>
        </w:rPr>
      </w:pPr>
    </w:p>
    <w:p w14:paraId="5C847F76" w14:textId="77777777" w:rsidR="00314325" w:rsidRDefault="00314325" w:rsidP="00314325">
      <w:pPr>
        <w:pStyle w:val="ListParagraph"/>
        <w:numPr>
          <w:ilvl w:val="0"/>
          <w:numId w:val="48"/>
        </w:numPr>
        <w:ind w:hanging="720"/>
        <w:jc w:val="both"/>
        <w:rPr>
          <w:b/>
        </w:rPr>
      </w:pPr>
      <w:r w:rsidRPr="00BB04E2">
        <w:rPr>
          <w:b/>
        </w:rPr>
        <w:t xml:space="preserve">Penerapan Prinsip Perlindungan Hak Asasi Manusia </w:t>
      </w:r>
      <w:r>
        <w:rPr>
          <w:b/>
        </w:rPr>
        <w:t>d</w:t>
      </w:r>
      <w:r w:rsidRPr="00BB04E2">
        <w:rPr>
          <w:b/>
        </w:rPr>
        <w:t>alam Proses Penegakan Hukum Terhadap Tersangka Tindak Pidana Tanpa Hak Menjual Narkotika Golongan I Berdasarkan Putusan Nomor 2036/Pid.Sus/2025/PN Mdn</w:t>
      </w:r>
    </w:p>
    <w:p w14:paraId="621AB0CD" w14:textId="77777777" w:rsidR="00314325" w:rsidRPr="00BB04E2" w:rsidRDefault="00314325" w:rsidP="00314325">
      <w:pPr>
        <w:pStyle w:val="ListParagraph"/>
        <w:jc w:val="both"/>
        <w:rPr>
          <w:b/>
        </w:rPr>
      </w:pPr>
    </w:p>
    <w:p w14:paraId="34FD87A2" w14:textId="77777777" w:rsidR="00314325" w:rsidRDefault="00314325" w:rsidP="00314325">
      <w:pPr>
        <w:widowControl w:val="0"/>
        <w:spacing w:line="480" w:lineRule="auto"/>
        <w:ind w:firstLine="720"/>
        <w:jc w:val="both"/>
      </w:pPr>
      <w:r w:rsidRPr="00847B64">
        <w:t>Proses penegakan hukum terhadap tersangka tindak pidana tanpa hak menjual narkotika golongan I memegang peranan penting dalam upaya pemberantasan peredaran narkotika yang merusak generasi muda dan masyarakat secara umum. Narkotika golongan I, yang termasuk dalam daftar zat terlarang, memiliki sifat adiktif dan berbahaya, sehingga penegakan hukumnya harus dilakukan secara tegas dan efektif. Namun, dalam pelaksanaan proses tersebut, terdapat berbagai tantangan dan dinamika yang berkaitan dengan prosedur hukum, perlindungan hak asasi manusia, serta efektivitas penegakan hukum itu sendiri. Kasus-kasus yang terjadi seringkali menimbulkan pertanyaan mengenai keseimbangan antara penegakan hukum dan perlindungan hak asasi tersangka, termasuk hak atas keadilan, perlakuan manusiawi, dan prosedur yang sesuai dengan ketentuan perundang-undangan. Oleh karena itu, penting untuk mengkaji secara mendalam proses penegakan hukum terhadap tersangka tindak pidana narkotika golongan I agar penegakan hukum dapat berjalan secara adil, efektif, dan tidak melanggar hak asasi manusia.</w:t>
      </w:r>
    </w:p>
    <w:p w14:paraId="7D491F8C" w14:textId="77777777" w:rsidR="00314325" w:rsidRDefault="00314325" w:rsidP="00314325">
      <w:pPr>
        <w:widowControl w:val="0"/>
        <w:spacing w:line="480" w:lineRule="auto"/>
        <w:ind w:firstLine="720"/>
        <w:jc w:val="both"/>
      </w:pPr>
      <w:r w:rsidRPr="00E46059">
        <w:t xml:space="preserve">Hak Asasi Manusia (HAM) merupakan hak yang melekat secara universal dan harus dihormati serta dilindungi dalam setiap proses penegakan hukum, termasuk dalam penanganan tindak pidana tanpa hak menjual narkotika. Narkotika golongan I, sebagai zat yang sangat berbahaya dan dilarang penggunaannya, harus ditindak </w:t>
      </w:r>
      <w:r w:rsidRPr="00E46059">
        <w:lastRenderedPageBreak/>
        <w:t>secara tegas oleh aparat penegak hukum. Namun, dalam praktiknya, penegakan hukum terhadap tersangka narkotika seringkali menimbulkan kekhawatiran terkait pelanggaran hak asasi manusia, seperti perlakuan tidak manusiawi, penahanan yang berlebihan, atau kurangnya perlindungan terhadap hak-hak tersangka selama proses penyidikan dan penuntutan. Penerapan prinsip perlindungan HAM yang sesuai dalam proses penegakan hukum sangat penting untuk memastikan keadilan serta menjaga martabat manusia, tanpa mengurangi efektivitas penindakan terhadap kejahatan narkotika. Oleh karena itu, studi ini bertujuan untuk mengkaji bagaimana penerapan prinsip perlindungan HAM dapat diintegrasikan secara optimal dalam proses penegakan hukum terhadap tersangka tindak pidana narkotika golongan I.</w:t>
      </w:r>
    </w:p>
    <w:p w14:paraId="794C4BEC" w14:textId="77777777" w:rsidR="00314325" w:rsidRDefault="00314325" w:rsidP="00314325">
      <w:pPr>
        <w:widowControl w:val="0"/>
        <w:spacing w:line="480" w:lineRule="auto"/>
        <w:ind w:firstLine="720"/>
        <w:jc w:val="both"/>
      </w:pPr>
      <w:r>
        <w:t>P</w:t>
      </w:r>
      <w:r w:rsidRPr="00294DBB">
        <w:t>embahasan tentang penerapan prinsip perlindungan Hak Asasi Manusia (HAM) dalam proses penegakan hukum terhadap tersangka tindak pidana tanpa hak menjual narkotika sangatlah krusial karena beberapa alasan</w:t>
      </w:r>
      <w:r>
        <w:t>, yaitu s</w:t>
      </w:r>
      <w:r w:rsidRPr="00294DBB">
        <w:t>etiap individu yang tersangkut dalam proses hukum berhak mendapatkan perlakuan yang manusiawi sesuai dengan hak asasi manusia. Pembahasan ini penting untuk memastikan bahwa proses penegakan hukum tidak melanggar hak-hak dasar tersangka, seperti hak atas perlakuan tidak diskriminatif, hak atas keadilan, dan hak atas perlindungan dari penyiksaan atau perlakuan kejam.</w:t>
      </w:r>
      <w:r>
        <w:rPr>
          <w:rStyle w:val="FootnoteReference"/>
        </w:rPr>
        <w:footnoteReference w:id="1"/>
      </w:r>
    </w:p>
    <w:p w14:paraId="7F09858E" w14:textId="77777777" w:rsidR="00314325" w:rsidRDefault="00314325" w:rsidP="00314325">
      <w:pPr>
        <w:widowControl w:val="0"/>
        <w:spacing w:line="480" w:lineRule="auto"/>
        <w:ind w:firstLine="720"/>
        <w:jc w:val="both"/>
      </w:pPr>
      <w:r w:rsidRPr="00294DBB">
        <w:t xml:space="preserve">Dengan memperhatikan prinsip perlindungan HAM, proses penegakan hukum dapat berjalan lebih adil dan transparan. Hal ini penting untuk mencegah terjadinya penyalahgunaan kekuasaan dan memastikan bahwa proses hukum dilakukan sesuai </w:t>
      </w:r>
      <w:r w:rsidRPr="00294DBB">
        <w:lastRenderedPageBreak/>
        <w:t>aturan, sehingga memperkuat kepercayaan masyarakat terhadap sistem peradilan pidana.</w:t>
      </w:r>
      <w:r>
        <w:t xml:space="preserve"> </w:t>
      </w:r>
      <w:r w:rsidRPr="00294DBB">
        <w:t>Pembahasan ini membantu mengidentifikasi dan meminimalisir potensi pelanggaran HAM selama proses penanganan tersangka, seperti penahanan tanpa dasar yang kuat atau perlakuan kasar. Dengan demikian, risiko konflik hukum dan gugatan di badan peradilan internasional maupun nasional dapat diminimalisasi.</w:t>
      </w:r>
    </w:p>
    <w:p w14:paraId="2B559D49" w14:textId="77777777" w:rsidR="00314325" w:rsidRDefault="00314325" w:rsidP="00314325">
      <w:pPr>
        <w:widowControl w:val="0"/>
        <w:spacing w:line="480" w:lineRule="auto"/>
        <w:ind w:firstLine="720"/>
        <w:jc w:val="both"/>
      </w:pPr>
      <w:r w:rsidRPr="00294DBB">
        <w:t>Penerapan prinsip HAM merupakan bagian integral dari prinsip negara hukum, di mana setiap proses penegakan hukum harus dilakukan secara adil, proporsional, dan sesuai ketentuan hukum yang berlaku. Ini menjadi pijakan penting dalam mewujudkan supremasi hukum dan keadilan sosial.</w:t>
      </w:r>
      <w:r>
        <w:t xml:space="preserve"> </w:t>
      </w:r>
      <w:r w:rsidRPr="00294DBB">
        <w:t>Pembahasan ini penting sebagai bagian dari upaya reformasi sistem peradilan pidana yang lebih manusiawi dan berkeadilan, serta untuk memastikan bahwa upaya pemberantasan narkotika dilakukan tanpa mengabaikan hak asasi manusia, sehingga tercipta sistem penegakan hukum yang lebih berkeadilan dan berintegritas.</w:t>
      </w:r>
      <w:r>
        <w:rPr>
          <w:rStyle w:val="FootnoteReference"/>
        </w:rPr>
        <w:footnoteReference w:id="2"/>
      </w:r>
    </w:p>
    <w:p w14:paraId="0E7FC760" w14:textId="77777777" w:rsidR="00314325" w:rsidRDefault="00314325" w:rsidP="00314325">
      <w:pPr>
        <w:widowControl w:val="0"/>
        <w:spacing w:line="480" w:lineRule="auto"/>
        <w:ind w:firstLine="720"/>
        <w:jc w:val="both"/>
      </w:pPr>
      <w:r w:rsidRPr="00294DBB">
        <w:t>Secara keseluruhan, uraian ini menegaskan bahwa penerapan prinsip perlindungan HAM dalam proses penegakan hukum terhadap tersangka narkotika tidak hanya penting untuk menghormati hak individu, tetapi juga sebagai bagian dari upaya sistematis untuk meningkatkan keadilan dan integritas sistem peradilan pidana secara menyeluruh.</w:t>
      </w:r>
    </w:p>
    <w:p w14:paraId="571056C9" w14:textId="77777777" w:rsidR="00314325" w:rsidRDefault="00314325" w:rsidP="00314325">
      <w:pPr>
        <w:widowControl w:val="0"/>
        <w:spacing w:line="480" w:lineRule="auto"/>
        <w:ind w:firstLine="720"/>
        <w:jc w:val="both"/>
      </w:pPr>
      <w:r>
        <w:t xml:space="preserve">Manfred Nowak memberikan pendapat bahwa terdapat beberapa prinsip Hak Asasi Manusia, antara lain yaitu prinsip universal dalam artian menyeluruh, tak terbagi dalam artian penting dan utama, saling bergantung artinya pemenuhan antara satu hak dan hak lainnya saling terhubung, dan saling terkait dalam artian </w:t>
      </w:r>
      <w:r>
        <w:lastRenderedPageBreak/>
        <w:t>keseluruhan hak tidak terpisahkan. Sedangkan Rhona K.M. Smith memberi tambahan tentang prinsip lain yaitu kesetaraan dalam artian sama dan identik antara satu dan lainnya, non-diskriminasi dalam artian diperlakukan sama dan martabat manusia dalam artian menjunjung nilai kemanusiaan. Sementara itu di Indonesia memberikan beberapa penekanan penting terhadap prinsip yaitu tanggung jawab negara.</w:t>
      </w:r>
      <w:r>
        <w:rPr>
          <w:rStyle w:val="FootnoteReference"/>
        </w:rPr>
        <w:footnoteReference w:id="3"/>
      </w:r>
    </w:p>
    <w:p w14:paraId="28DE3D9B" w14:textId="77777777" w:rsidR="00314325" w:rsidRDefault="00314325" w:rsidP="00314325">
      <w:pPr>
        <w:widowControl w:val="0"/>
        <w:spacing w:line="480" w:lineRule="auto"/>
        <w:ind w:firstLine="720"/>
        <w:jc w:val="both"/>
      </w:pPr>
      <w:r>
        <w:t>Berikut ini merupakan penjabaran mengenai prinsip-prinsip HAM, antara lain:</w:t>
      </w:r>
    </w:p>
    <w:p w14:paraId="70EE1BF4" w14:textId="77777777" w:rsidR="00314325" w:rsidRDefault="00314325" w:rsidP="00D16DA0">
      <w:pPr>
        <w:pStyle w:val="ListParagraph"/>
        <w:widowControl w:val="0"/>
        <w:numPr>
          <w:ilvl w:val="0"/>
          <w:numId w:val="49"/>
        </w:numPr>
        <w:spacing w:line="480" w:lineRule="auto"/>
        <w:jc w:val="both"/>
      </w:pPr>
      <w:r>
        <w:t>Universal (</w:t>
      </w:r>
      <w:r w:rsidRPr="00B740CA">
        <w:rPr>
          <w:i/>
        </w:rPr>
        <w:t>Universality</w:t>
      </w:r>
      <w:r>
        <w:t>)</w:t>
      </w:r>
    </w:p>
    <w:p w14:paraId="79B345C4" w14:textId="77777777" w:rsidR="00314325" w:rsidRDefault="00314325" w:rsidP="00314325">
      <w:pPr>
        <w:widowControl w:val="0"/>
        <w:spacing w:line="480" w:lineRule="auto"/>
        <w:ind w:firstLine="720"/>
        <w:jc w:val="both"/>
      </w:pPr>
      <w:r>
        <w:t>Hak asasi manusia yang bersifat universal artinya bahwa setiap manusia di seluruh dunia tanpa terkecuali tanpa memandang agama, kewarganegaraan, bahasa, etnis, identitas politik, kondisi antropologis, atau status disabilitasnya, memiliki hak yang sama sebagai seorang manusia.</w:t>
      </w:r>
    </w:p>
    <w:p w14:paraId="6D886038" w14:textId="77777777" w:rsidR="00314325" w:rsidRDefault="00314325" w:rsidP="00314325">
      <w:pPr>
        <w:pStyle w:val="ListParagraph"/>
        <w:widowControl w:val="0"/>
        <w:numPr>
          <w:ilvl w:val="0"/>
          <w:numId w:val="49"/>
        </w:numPr>
        <w:spacing w:line="480" w:lineRule="auto"/>
        <w:jc w:val="both"/>
      </w:pPr>
      <w:r>
        <w:t>Tak Terbagi (</w:t>
      </w:r>
      <w:r w:rsidRPr="00B740CA">
        <w:rPr>
          <w:i/>
        </w:rPr>
        <w:t>Indivisibility</w:t>
      </w:r>
      <w:r>
        <w:t xml:space="preserve">) </w:t>
      </w:r>
    </w:p>
    <w:p w14:paraId="23E03377" w14:textId="77777777" w:rsidR="00314325" w:rsidRDefault="00314325" w:rsidP="00314325">
      <w:pPr>
        <w:widowControl w:val="0"/>
        <w:spacing w:line="480" w:lineRule="auto"/>
        <w:ind w:firstLine="720"/>
        <w:jc w:val="both"/>
      </w:pPr>
      <w:r>
        <w:t>Hak asasi manusia tidak dapat terbagi berarti semua hak asasi manusia sama pentingnya dan tidak boleh ada hak atau kategori hak tertentu yang dikeluarkan dari keseluruhan. Sifat HAM yang universal dan tidak terbagi dianggap sebagai dua prinsip suci yang paling penting. Kedua prinsip ini menjadi slogan utama dalam Deklarasi Universal Hak Asasi Manusia, yaitu semua hak asasi manusia untuk semua.</w:t>
      </w:r>
    </w:p>
    <w:p w14:paraId="6B231E17" w14:textId="77777777" w:rsidR="00314325" w:rsidRDefault="00314325" w:rsidP="00314325">
      <w:pPr>
        <w:pStyle w:val="ListParagraph"/>
        <w:widowControl w:val="0"/>
        <w:numPr>
          <w:ilvl w:val="0"/>
          <w:numId w:val="49"/>
        </w:numPr>
        <w:spacing w:line="480" w:lineRule="auto"/>
        <w:jc w:val="both"/>
      </w:pPr>
      <w:r>
        <w:t>Saling Bergantung (</w:t>
      </w:r>
      <w:r w:rsidRPr="00B740CA">
        <w:rPr>
          <w:i/>
        </w:rPr>
        <w:t>Interdependent</w:t>
      </w:r>
      <w:r>
        <w:t xml:space="preserve">) </w:t>
      </w:r>
    </w:p>
    <w:p w14:paraId="3D464B98" w14:textId="77777777" w:rsidR="00314325" w:rsidRDefault="00314325" w:rsidP="00314325">
      <w:pPr>
        <w:widowControl w:val="0"/>
        <w:spacing w:line="480" w:lineRule="auto"/>
        <w:ind w:firstLine="720"/>
        <w:jc w:val="both"/>
      </w:pPr>
      <w:r>
        <w:t xml:space="preserve">Sifat saling ketergantungan HAM berarti bahwa pemenuhan satu hak tertentu selalu bergantung pada pemenuhan hak-hak lainnya. Sebagai contoh, hak untuk bekerja bergantung pada pemenuhan hak untuk mendapatkan pendidikan. Selain itu, </w:t>
      </w:r>
      <w:r>
        <w:lastRenderedPageBreak/>
        <w:t>hak untuk memilih dan mengamalkan agama juga bergantung pada hak untuk menyampaikan pendapat secara bebas. Sebagai contoh, umat beragama tertentu dapat melaksanakan ibadah jika hak untuk menyampaikan pendapat secara bebas terpenuhi.</w:t>
      </w:r>
    </w:p>
    <w:p w14:paraId="4CCEEE25" w14:textId="77777777" w:rsidR="00314325" w:rsidRDefault="00314325" w:rsidP="00314325">
      <w:pPr>
        <w:pStyle w:val="ListParagraph"/>
        <w:widowControl w:val="0"/>
        <w:numPr>
          <w:ilvl w:val="0"/>
          <w:numId w:val="49"/>
        </w:numPr>
        <w:spacing w:line="480" w:lineRule="auto"/>
        <w:jc w:val="both"/>
      </w:pPr>
      <w:r>
        <w:t>Saling Terkait (</w:t>
      </w:r>
      <w:r w:rsidRPr="00B740CA">
        <w:rPr>
          <w:i/>
        </w:rPr>
        <w:t>Interrelated</w:t>
      </w:r>
      <w:r>
        <w:t xml:space="preserve">) </w:t>
      </w:r>
    </w:p>
    <w:p w14:paraId="3992D8CF" w14:textId="77777777" w:rsidR="00314325" w:rsidRDefault="00314325" w:rsidP="00314325">
      <w:pPr>
        <w:widowControl w:val="0"/>
        <w:spacing w:line="480" w:lineRule="auto"/>
        <w:ind w:firstLine="720"/>
        <w:jc w:val="both"/>
      </w:pPr>
      <w:r>
        <w:t xml:space="preserve">Hak asasi manusia yang saling terkait artinya bahwa semua hak tersebut tidak bisa dipisahkan satu sama lain. Dengan kata lain, semua jenis hak asasi manusia membentuk satu kesatuan yang utuh. Sebagai contoh, dengan memenuhi hak untuk mendapatkan pendidikan, seseorang dapat membaca surat suara dan memahami visi serta misi calon anggota legislatif dan partai politik yang didukungnya. </w:t>
      </w:r>
    </w:p>
    <w:p w14:paraId="51944F18" w14:textId="77777777" w:rsidR="00314325" w:rsidRDefault="00314325" w:rsidP="00314325">
      <w:pPr>
        <w:pStyle w:val="ListParagraph"/>
        <w:widowControl w:val="0"/>
        <w:numPr>
          <w:ilvl w:val="0"/>
          <w:numId w:val="49"/>
        </w:numPr>
        <w:spacing w:line="480" w:lineRule="auto"/>
        <w:jc w:val="both"/>
      </w:pPr>
      <w:r>
        <w:t>Kesetaraan (</w:t>
      </w:r>
      <w:r w:rsidRPr="00B740CA">
        <w:rPr>
          <w:i/>
        </w:rPr>
        <w:t>Equality</w:t>
      </w:r>
      <w:r>
        <w:t xml:space="preserve">) </w:t>
      </w:r>
    </w:p>
    <w:p w14:paraId="41AB3A03" w14:textId="77777777" w:rsidR="00314325" w:rsidRDefault="00314325" w:rsidP="00314325">
      <w:pPr>
        <w:widowControl w:val="0"/>
        <w:spacing w:line="480" w:lineRule="auto"/>
        <w:ind w:firstLine="720"/>
        <w:jc w:val="both"/>
      </w:pPr>
      <w:r>
        <w:t>Kesetaraan adalah prinsip dasar dalam hak asasi manusia. Kesetaraan berarti perlakuan yang adil, di mana dalam kondisi yang sama, semua orang harus diperlakukan sama, dan dalam kondisi yang berbeda, orang harus diperlakukan sesuai dengan perbedaannya. Kesetaraan dianggap sebagai prasyarat penting dalam negara demokrasi. Contohnya meliputi kesetaraan dalam perlakuan hukum, kesempatan yang setara, akses yang setara dalam pendidikan, akses yang setara dalam mendapatkan keadilan di pengadilan, kesetaraan dalam menjalankan keyakinan dan beribadah sesuai dengan kepercayaan masing-masing, dan hal-hal lainnya yang berkaitan dengan kesetaraan.</w:t>
      </w:r>
    </w:p>
    <w:p w14:paraId="60DD6D50" w14:textId="77777777" w:rsidR="00314325" w:rsidRDefault="00314325" w:rsidP="00314325">
      <w:pPr>
        <w:pStyle w:val="ListParagraph"/>
        <w:widowControl w:val="0"/>
        <w:numPr>
          <w:ilvl w:val="0"/>
          <w:numId w:val="49"/>
        </w:numPr>
        <w:spacing w:line="480" w:lineRule="auto"/>
        <w:jc w:val="both"/>
      </w:pPr>
      <w:r>
        <w:t>Non Diskriminasi (</w:t>
      </w:r>
      <w:r w:rsidRPr="00B740CA">
        <w:rPr>
          <w:i/>
        </w:rPr>
        <w:t>Non-Discrimination</w:t>
      </w:r>
      <w:r>
        <w:t xml:space="preserve">) </w:t>
      </w:r>
    </w:p>
    <w:p w14:paraId="29B7894E" w14:textId="77777777" w:rsidR="00314325" w:rsidRDefault="00314325" w:rsidP="00314325">
      <w:pPr>
        <w:widowControl w:val="0"/>
        <w:spacing w:line="480" w:lineRule="auto"/>
        <w:ind w:firstLine="720"/>
        <w:jc w:val="both"/>
      </w:pPr>
      <w:r>
        <w:t xml:space="preserve">Diskriminasi bisa terjadi ketika seseorang diperlakukan tidak setara dalam hukum, perlakuan, kesempatan pendidikan, dan lain-lain. Ini dapat dianggap tidak adil ketika situasi yang sama diperlakukan secara berbeda atau situasi yang berbeda </w:t>
      </w:r>
      <w:r>
        <w:lastRenderedPageBreak/>
        <w:t xml:space="preserve">diperlakukan secara sama. </w:t>
      </w:r>
    </w:p>
    <w:p w14:paraId="011B36C1" w14:textId="77777777" w:rsidR="00314325" w:rsidRDefault="00314325" w:rsidP="00314325">
      <w:pPr>
        <w:pStyle w:val="ListParagraph"/>
        <w:widowControl w:val="0"/>
        <w:numPr>
          <w:ilvl w:val="0"/>
          <w:numId w:val="49"/>
        </w:numPr>
        <w:spacing w:line="480" w:lineRule="auto"/>
        <w:jc w:val="both"/>
      </w:pPr>
      <w:r>
        <w:t>Martabat Manusia (</w:t>
      </w:r>
      <w:r w:rsidRPr="00B740CA">
        <w:rPr>
          <w:i/>
        </w:rPr>
        <w:t>Human Dignity</w:t>
      </w:r>
      <w:r>
        <w:t xml:space="preserve">) </w:t>
      </w:r>
    </w:p>
    <w:p w14:paraId="0C102D2F" w14:textId="77777777" w:rsidR="00314325" w:rsidRDefault="00314325" w:rsidP="00314325">
      <w:pPr>
        <w:widowControl w:val="0"/>
        <w:spacing w:line="480" w:lineRule="auto"/>
        <w:ind w:firstLine="720"/>
        <w:jc w:val="both"/>
      </w:pPr>
      <w:r>
        <w:t>Diskriminasi dapat terjadi ketika individu diperlakukan secara tidak adil atau memiliki kesempatan yang tidak setara, seperti ketidaksetaraan di depan hukum, perlakuan yang tidak setara, kesempatan pendidikan yang tidak adil, dan hal lainnya. Diskriminasi bisa dijelaskan sebagai situasi yang tidak adil ketika kondisi yang sama diperlakukan dengan cara yang berbeda atau ketika kondisi yang berbeda diperlakukan dengan cara yang sama.</w:t>
      </w:r>
    </w:p>
    <w:p w14:paraId="63A217D9" w14:textId="77777777" w:rsidR="00314325" w:rsidRDefault="00314325" w:rsidP="00314325">
      <w:pPr>
        <w:pStyle w:val="ListParagraph"/>
        <w:widowControl w:val="0"/>
        <w:numPr>
          <w:ilvl w:val="0"/>
          <w:numId w:val="49"/>
        </w:numPr>
        <w:spacing w:line="480" w:lineRule="auto"/>
        <w:jc w:val="both"/>
      </w:pPr>
      <w:r>
        <w:t>Tanggung Jawab Negara (</w:t>
      </w:r>
      <w:r w:rsidRPr="00B740CA">
        <w:rPr>
          <w:i/>
        </w:rPr>
        <w:t>State’s Responsibility</w:t>
      </w:r>
      <w:r>
        <w:t xml:space="preserve">) </w:t>
      </w:r>
    </w:p>
    <w:p w14:paraId="5C79D8E1" w14:textId="77777777" w:rsidR="00314325" w:rsidRDefault="00314325" w:rsidP="00314325">
      <w:pPr>
        <w:widowControl w:val="0"/>
        <w:spacing w:line="480" w:lineRule="auto"/>
        <w:ind w:firstLine="720"/>
        <w:jc w:val="both"/>
      </w:pPr>
      <w:r>
        <w:t>Pemenuhan, perlindungan, dan penghormatan terhadap hak asasi manusia merupakan tanggung jawab utama negara. Aparat pemerintahan dalam negara bertanggung jawab sebagai aktor utama untuk memastikan hal ini terjadi. Prinsip ini ditegaskan dalam berbagai konvensi hak asasi manusia internasional serta dalam peraturan dalam negeri.</w:t>
      </w:r>
    </w:p>
    <w:p w14:paraId="49820741" w14:textId="77777777" w:rsidR="00314325" w:rsidRDefault="00314325" w:rsidP="00314325">
      <w:pPr>
        <w:widowControl w:val="0"/>
        <w:spacing w:line="480" w:lineRule="auto"/>
        <w:ind w:firstLine="720"/>
        <w:jc w:val="both"/>
      </w:pPr>
      <w:r>
        <w:t xml:space="preserve">Berdasarkan prinsip-prinsip perlindungan HAM di atas, peneliti akan mengkaitkannya dengan proses penegakan hukum terhadap tersangka </w:t>
      </w:r>
      <w:r w:rsidRPr="00FD4665">
        <w:t>tindak pidana tanpa hak menjual narkotika golongan I berdasarkan Putusan Nomor 2036/Pid.Sus/2025/PN Mdn</w:t>
      </w:r>
      <w:r>
        <w:t>, apakah prinsi-prinsip tersebut di atas masih dijalankan dengan baik atau sebaliknya. Untuk itu, peneliti akan menguraikan terlebih dahulu kronologis kasus tersebut sebagai berikut.</w:t>
      </w:r>
    </w:p>
    <w:p w14:paraId="1C5D2873" w14:textId="77777777" w:rsidR="00314325" w:rsidRDefault="00314325" w:rsidP="00314325">
      <w:pPr>
        <w:widowControl w:val="0"/>
        <w:spacing w:line="480" w:lineRule="auto"/>
        <w:ind w:firstLine="720"/>
        <w:jc w:val="both"/>
      </w:pPr>
      <w:r>
        <w:t>B</w:t>
      </w:r>
      <w:r w:rsidRPr="00FD4665">
        <w:t>erdasarkan Putusan Nomor 2036/Pid.Sus/2025/PN Mdn</w:t>
      </w:r>
      <w:r>
        <w:t xml:space="preserve"> diketahui seorang terdakwa atas nama Rahmad Hidayat telah dituntut oleh Jaksa Penuntut Umum di Pengadilan Negeri Medan karena diduga telah bersalah melakukan tindak pidana </w:t>
      </w:r>
      <w:r>
        <w:lastRenderedPageBreak/>
        <w:t xml:space="preserve">tanpa hak atau melawan hukum menawarkan untuk dijual, menjual, membeli, menerima, menjadi perantara dalam jual beli, menukar, atau menyerahkan, Narkotika Golongan I dalam bentuk bukan tanaman sebagaimana diatur dan diancam pidana dalam Pasal 114 ayat (1) Undang- Undang No. 35 Tahun 2009 tentang Narkotika Jo Undang- Undang No. 1 Tahun 2023 tentang KUHP. </w:t>
      </w:r>
    </w:p>
    <w:p w14:paraId="3CE58378" w14:textId="77777777" w:rsidR="00314325" w:rsidRDefault="00314325" w:rsidP="00314325">
      <w:pPr>
        <w:widowControl w:val="0"/>
        <w:spacing w:line="480" w:lineRule="auto"/>
        <w:ind w:firstLine="720"/>
        <w:jc w:val="both"/>
      </w:pPr>
      <w:r>
        <w:t xml:space="preserve">Terdakwa ditangkap bermula pada hari Rabu tanggal 20 Agustus 2025 sekira pukul 18.00 Wib saksi Sunardi, saksi Tohom Reymond, saksi Arjuna, saksi Fachri Muhammad dan saksi Reinhard Simamora yang merupakan Anggota Kepolisian Polres Pelabuhan Belawan mendapatkan informasi yang mengatakan bahwa di Jalan Kelambir 5 Gang Keluarga Lingkungan 2 Kelurahan Tanjung Gusta Kecamatan Medan Helvetia Kota Medan ada seorang laki-laki menjual Narkotika jenis shabu. Berdasarkan Informasi tersebut, saksi Sunardi, saksi Tohom Reymond, saksi Arjuna, saksi Fachri Muhammad dan saksi Reinhard Simamora menuju ke Jalan Kelambir 5 Gang Keluarga Lingkungan 2 Kelurahan Tanjung Gusta Kecamatan Medan Helvetia Kota Medan dan setibanya di lokasi tersebut para saksi melihat Terdakwa sedang duduk dikursi di belakang rumah, melihat hal tersebut saksi Sunardi, saksi Tohom Reymond, saksi Arjuna memantau situasi sekitar sedangkan saksi Fachri Muhammad dan saksi Reinhard Simamora melakukan </w:t>
      </w:r>
      <w:r w:rsidRPr="003D1F5F">
        <w:rPr>
          <w:i/>
        </w:rPr>
        <w:t>undercover buy</w:t>
      </w:r>
      <w:r>
        <w:t xml:space="preserve"> dengan menemui Terdakwa.</w:t>
      </w:r>
    </w:p>
    <w:p w14:paraId="4BF15534" w14:textId="77777777" w:rsidR="00314325" w:rsidRDefault="00314325" w:rsidP="00314325">
      <w:pPr>
        <w:widowControl w:val="0"/>
        <w:spacing w:line="480" w:lineRule="auto"/>
        <w:ind w:firstLine="720"/>
        <w:jc w:val="both"/>
      </w:pPr>
      <w:r>
        <w:t>Pada saat menemui Terdakwa ditemukan barang bukti di</w:t>
      </w:r>
      <w:r w:rsidR="00B333E9">
        <w:t xml:space="preserve"> </w:t>
      </w:r>
      <w:r>
        <w:t>atas meja di hadapan terdakwa seketika saksi Sunardi, saksi Tohom Reymond, saksi Arjuna, saksi Fachri Muhammad dan saksi Reinhard Simamora langsung mengamankan Terdakwa dan ditemukan barang bukti di</w:t>
      </w:r>
      <w:r w:rsidR="00944101">
        <w:t xml:space="preserve"> </w:t>
      </w:r>
      <w:r>
        <w:t>hadapan Terdakwa berupa 1 buah plasti</w:t>
      </w:r>
      <w:r w:rsidR="00944101">
        <w:t>k</w:t>
      </w:r>
      <w:r>
        <w:t xml:space="preserve"> klip ukuran </w:t>
      </w:r>
      <w:r>
        <w:lastRenderedPageBreak/>
        <w:t xml:space="preserve">sedang yang berisikan Narkotika jenis shabu, 1 buah </w:t>
      </w:r>
      <w:r w:rsidR="00944101">
        <w:t>plastik</w:t>
      </w:r>
      <w:r>
        <w:t xml:space="preserve"> klip ukuran sedang yang berisikan </w:t>
      </w:r>
      <w:r w:rsidR="00944101">
        <w:t>4</w:t>
      </w:r>
      <w:r>
        <w:t xml:space="preserve"> buah </w:t>
      </w:r>
      <w:r w:rsidR="00944101">
        <w:t>plastik</w:t>
      </w:r>
      <w:r>
        <w:t xml:space="preserve"> klip ukuran kecil yang berisikan Narkotika jenis shabu, </w:t>
      </w:r>
      <w:r w:rsidR="00944101">
        <w:t>1</w:t>
      </w:r>
      <w:r>
        <w:t xml:space="preserve"> buah </w:t>
      </w:r>
      <w:r w:rsidR="00944101">
        <w:t>plastik</w:t>
      </w:r>
      <w:r>
        <w:t xml:space="preserve"> klip ukuran sedang yang berisikan </w:t>
      </w:r>
      <w:r w:rsidR="00944101">
        <w:t>8</w:t>
      </w:r>
      <w:r>
        <w:t xml:space="preserve"> </w:t>
      </w:r>
      <w:r w:rsidR="00944101">
        <w:t>plastik</w:t>
      </w:r>
      <w:r>
        <w:t xml:space="preserve"> klip kosong, </w:t>
      </w:r>
      <w:r w:rsidR="00944101">
        <w:t>1</w:t>
      </w:r>
      <w:r>
        <w:t xml:space="preserve"> buah pipet </w:t>
      </w:r>
      <w:r w:rsidR="00944101">
        <w:t>plastik</w:t>
      </w:r>
      <w:r>
        <w:t xml:space="preserve"> yang ujungnya runcing berbentuk skop bergagang kayu dan </w:t>
      </w:r>
      <w:r w:rsidR="00944101">
        <w:t>1 buah dompet kecil warna hitam</w:t>
      </w:r>
      <w:r>
        <w:t xml:space="preserve">. </w:t>
      </w:r>
      <w:r w:rsidR="00944101">
        <w:t>S</w:t>
      </w:r>
      <w:r>
        <w:t>elanjutnya dilakukan penggeledahan badan terdakwa ditemukan uang sebesar Rp.75.000 di dalam kantong sebelah kanan celana yang digunakan Terdakwa.</w:t>
      </w:r>
    </w:p>
    <w:p w14:paraId="045E9817" w14:textId="77777777" w:rsidR="00314325" w:rsidRDefault="00314325" w:rsidP="00314325">
      <w:pPr>
        <w:widowControl w:val="0"/>
        <w:spacing w:line="480" w:lineRule="auto"/>
        <w:ind w:firstLine="720"/>
        <w:jc w:val="both"/>
      </w:pPr>
      <w:r>
        <w:t xml:space="preserve">Setelah dilakukan introgasi terdakwa menerangkan pada hari Rabu tanggal 20 Agustus 2025 sekira pukul 15.00 Wib terdakwa membeli Narkotika jenis shabu dari Sdr. Totoy (DPO) dengan harga 1 ji/gram seharga Rp.600.000 dengan tujuan dijual kembali dan uang sebesar Rp.75.000 merupakan uang hasil penjualan Narkotika jenis shabu. Berdasarkan berita acara penimbangan barang bukti narkotika jenis shabu yang disita dari terdakwa oleh Perum Pegadaian Cabang Labuhan Deli No.224/VIII/POL-10009/2025 tanggal 22 Agustus 2025, </w:t>
      </w:r>
      <w:r w:rsidR="00944101">
        <w:t>5</w:t>
      </w:r>
      <w:r>
        <w:t xml:space="preserve"> buah </w:t>
      </w:r>
      <w:r w:rsidR="00944101">
        <w:t>plastik</w:t>
      </w:r>
      <w:r>
        <w:t xml:space="preserve"> klip berisikan butiran butiran putih yang diduga Narotika jenis shabu dengan berat bersih </w:t>
      </w:r>
      <w:r w:rsidR="00944101">
        <w:t>1,12</w:t>
      </w:r>
      <w:r>
        <w:t xml:space="preserve"> gram, yang ditandatangani oleh Nurul Asniar, SE selaku Manajer cabang. </w:t>
      </w:r>
    </w:p>
    <w:p w14:paraId="3BFD68EC" w14:textId="77777777" w:rsidR="00314325" w:rsidRDefault="00314325" w:rsidP="00314325">
      <w:pPr>
        <w:widowControl w:val="0"/>
        <w:spacing w:line="480" w:lineRule="auto"/>
        <w:ind w:firstLine="720"/>
        <w:jc w:val="both"/>
      </w:pPr>
      <w:r>
        <w:t xml:space="preserve">Terdakwa tidak memiliki ijin yang syah dari pemerintah R.I untuk menawarkan untuk dijual, menjual, membeli, menerima, menjadi perantara dalam jual beli, menukar, atau menyerahkan, Narkotika Golongan I. Berdasarkan hasil berita acara analisis penimbangan terhadap Barang bukti Narkotika jenis sabu milik terdakwa oleh Waka Kepala Laboratorium Forensik Polri Cabang Medan yang ditandatangani oleh apt. Debora M Hutagaol, S.Si., M.Farm Nomor : 6159/NNF /2025, pada hari Senin tanggal 08 September 2025, </w:t>
      </w:r>
      <w:r w:rsidR="00944101">
        <w:t>5</w:t>
      </w:r>
      <w:r>
        <w:t xml:space="preserve"> </w:t>
      </w:r>
      <w:r w:rsidR="00944101">
        <w:t>plastik</w:t>
      </w:r>
      <w:r>
        <w:t xml:space="preserve"> klip berisi Kristal putih </w:t>
      </w:r>
      <w:r>
        <w:lastRenderedPageBreak/>
        <w:t xml:space="preserve">dengan berat netto </w:t>
      </w:r>
      <w:r w:rsidR="00944101">
        <w:t>1,12</w:t>
      </w:r>
      <w:r>
        <w:t xml:space="preserve"> gram adalah positif Metamfetamina dan terdaftar dalam Golongan I (satu) nomor urut 61 Lampiran I Undang-Undang Republik Indonesia No. 35 Tahun 2009 tentang Narkotika. Perbuatan Terdakwa sebagaimana diatur dan diancam Pasal 114 Ayat (1) UU RI No. 35 Tahun 2009, tentang Narkotika.</w:t>
      </w:r>
    </w:p>
    <w:p w14:paraId="03AEF2EA" w14:textId="77777777" w:rsidR="00314325" w:rsidRPr="000964AD" w:rsidRDefault="00314325" w:rsidP="00314325">
      <w:pPr>
        <w:widowControl w:val="0"/>
        <w:spacing w:line="480" w:lineRule="auto"/>
        <w:ind w:firstLine="720"/>
        <w:jc w:val="both"/>
      </w:pPr>
      <w:r>
        <w:t xml:space="preserve">Berdasarkan proses penegakan hukum di atas, peneliti akan menganalisis bagaimana hak asasi manusia dari terdakwa masih terlindungi dalam proses penegakan hukum, dan tentunya metode penangkapan terdakwa melalui metode </w:t>
      </w:r>
      <w:r>
        <w:rPr>
          <w:i/>
        </w:rPr>
        <w:t>undercover buy</w:t>
      </w:r>
      <w:r>
        <w:t xml:space="preserve"> sangat berpotensi terjadinya penyimpangan penegakan hukum.</w:t>
      </w:r>
    </w:p>
    <w:p w14:paraId="69A9B1EE" w14:textId="77777777" w:rsidR="00314325" w:rsidRDefault="00314325" w:rsidP="00314325">
      <w:pPr>
        <w:widowControl w:val="0"/>
        <w:spacing w:line="480" w:lineRule="auto"/>
        <w:ind w:firstLine="720"/>
        <w:jc w:val="both"/>
      </w:pPr>
      <w:r>
        <w:t xml:space="preserve">Dalam proses penyelidikan tindak pidana penjualan narkotika, timbul persoalan baru ketika proses pengungkapan kasus penjualan narkotika dilakukan melalui metode </w:t>
      </w:r>
      <w:r>
        <w:rPr>
          <w:i/>
        </w:rPr>
        <w:t>undercover buy</w:t>
      </w:r>
      <w:r>
        <w:t xml:space="preserve"> (pembelian terselubung). Aparat penegak hukum kemudian menggunakan </w:t>
      </w:r>
      <w:r>
        <w:rPr>
          <w:i/>
        </w:rPr>
        <w:t xml:space="preserve">undercover buy </w:t>
      </w:r>
      <w:r>
        <w:t>atau pembelian terselubung sebagai strategi untuk menembus jaringan peredaran gelap narkotika.</w:t>
      </w:r>
    </w:p>
    <w:p w14:paraId="2E1BD6C5" w14:textId="77777777" w:rsidR="00314325" w:rsidRDefault="00314325" w:rsidP="00314325">
      <w:pPr>
        <w:widowControl w:val="0"/>
        <w:spacing w:line="480" w:lineRule="auto"/>
        <w:ind w:firstLine="720"/>
        <w:jc w:val="both"/>
      </w:pPr>
      <w:r>
        <w:t xml:space="preserve">Dalam proses penyelidikan tindak pidana penjualan narkotika, penerapan metode </w:t>
      </w:r>
      <w:r w:rsidRPr="009F432D">
        <w:rPr>
          <w:i/>
        </w:rPr>
        <w:t>undercover buy</w:t>
      </w:r>
      <w:r>
        <w:t xml:space="preserve"> (pembelian terselubung) menjadi salah satu teknik yang efektif untuk mengungkap keberadaan dan aktivitas pelaku kejahatan narkotika secara langsung di lapangan. Namun, penggunaan metode ini menimbulkan persoalan baru yang berkaitan dengan aspek perlindungan hak asasi manusia dan ketentuan hukum yang berlaku. </w:t>
      </w:r>
      <w:r>
        <w:rPr>
          <w:rStyle w:val="FootnoteReference"/>
        </w:rPr>
        <w:footnoteReference w:id="4"/>
      </w:r>
    </w:p>
    <w:p w14:paraId="7D0B1F33" w14:textId="77777777" w:rsidR="00314325" w:rsidRDefault="00314325" w:rsidP="00314325">
      <w:pPr>
        <w:widowControl w:val="0"/>
        <w:spacing w:line="480" w:lineRule="auto"/>
        <w:ind w:firstLine="720"/>
        <w:jc w:val="both"/>
      </w:pPr>
      <w:r>
        <w:t xml:space="preserve">Pertama, secara hukum, metode </w:t>
      </w:r>
      <w:r w:rsidRPr="009F432D">
        <w:rPr>
          <w:i/>
        </w:rPr>
        <w:t>undercover buy</w:t>
      </w:r>
      <w:r>
        <w:t xml:space="preserve"> harus dilakukan sesuai dengan prinsip-prinsip hukum acara pidana, termasuk aspek legalitas, keadilan, dan perlindungan hak tersangka. Penggunaan metode ini seringkali memunculkan </w:t>
      </w:r>
      <w:r>
        <w:lastRenderedPageBreak/>
        <w:t>persoalan terkait keabsahan bukti yang diperoleh, terutama jika tindakan tersebut melanggar hak tersangka, seperti hak atas privasi dan hak atas perlakuan yang manusiawi.</w:t>
      </w:r>
    </w:p>
    <w:p w14:paraId="2EB8ED5A" w14:textId="77777777" w:rsidR="00314325" w:rsidRDefault="00314325" w:rsidP="00314325">
      <w:pPr>
        <w:widowControl w:val="0"/>
        <w:spacing w:line="480" w:lineRule="auto"/>
        <w:ind w:firstLine="720"/>
        <w:jc w:val="both"/>
      </w:pPr>
      <w:r>
        <w:t>Kedua, dari sudut pandang HAM, terdapat kekhawatiran bahwa proses pengungkapan melalui metode ini dapat menimbulkan pelanggaran hak asasi tersangka atau pihak lain yang terlibat. Misalnya, tindakan penyamaran dan pengadaan bukti secara tersembunyi dapat dianggap sebagai bentuk penyalahgunaan wewenang apabila tidak dilakukan sesuai prosedur yang ketat dan transparan. Selain itu, risiko penyalahgunaan kekuasaan oleh aparat penegak hukum juga menjadi persoalan yang perlu diwaspadai.</w:t>
      </w:r>
    </w:p>
    <w:p w14:paraId="0776590F" w14:textId="77777777" w:rsidR="00314325" w:rsidRDefault="00314325" w:rsidP="00314325">
      <w:pPr>
        <w:widowControl w:val="0"/>
        <w:spacing w:line="480" w:lineRule="auto"/>
        <w:ind w:firstLine="720"/>
        <w:jc w:val="both"/>
      </w:pPr>
      <w:r>
        <w:t xml:space="preserve">Ketiga, persoalan etis dan moral juga muncul terkait penggunaan metode </w:t>
      </w:r>
      <w:r w:rsidRPr="009F432D">
        <w:rPr>
          <w:i/>
        </w:rPr>
        <w:t>undercover buy</w:t>
      </w:r>
      <w:r>
        <w:t>, karena dapat menimbulkan tekanan psikologis kepada pelaku yang diamati dan ditangkap, serta potensi terjadinya konflik kepentingan.</w:t>
      </w:r>
    </w:p>
    <w:p w14:paraId="6243533D" w14:textId="77777777" w:rsidR="00314325" w:rsidRDefault="00314325" w:rsidP="00314325">
      <w:pPr>
        <w:widowControl w:val="0"/>
        <w:spacing w:line="480" w:lineRule="auto"/>
        <w:ind w:firstLine="720"/>
        <w:jc w:val="both"/>
      </w:pPr>
      <w:r>
        <w:t>Keempat, dari aspek efektivitas, metode ini memang terbukti mampu mengungkap jaringan dan transaksi narkotika secara langsung, namun harus diimbangi dengan pengaturan hukum yang jelas agar bukti yang diperoleh dapat dipertanggungjawabkan di pengadilan.</w:t>
      </w:r>
    </w:p>
    <w:p w14:paraId="4BDD2D3E" w14:textId="77777777" w:rsidR="00314325" w:rsidRDefault="00314325" w:rsidP="00314325">
      <w:pPr>
        <w:widowControl w:val="0"/>
        <w:spacing w:line="480" w:lineRule="auto"/>
        <w:ind w:firstLine="720"/>
        <w:jc w:val="both"/>
      </w:pPr>
      <w:r>
        <w:t xml:space="preserve">Secara keseluruhan, penggunaan metode </w:t>
      </w:r>
      <w:r w:rsidRPr="009F432D">
        <w:rPr>
          <w:i/>
        </w:rPr>
        <w:t>undercover buy</w:t>
      </w:r>
      <w:r>
        <w:t xml:space="preserve"> dalam pengungkapan kasus penjualan narkotika harus diatur secara ketat agar tidak melanggar prinsip perlindungan hak asasi manusia dan memastikan bahwa proses penegakan hukum berjalan secara adil dan berkeadilan. Peneliti menegaskan pentingnya adanya regulasi yang mengatur prosedur pelaksanaan metode ini, termasuk pengawasan dan pengendalian dari lembaga yang berwenang, agar </w:t>
      </w:r>
      <w:r>
        <w:lastRenderedPageBreak/>
        <w:t>penggunaan metode ini benar-benar efektif, sah secara hukum, dan tetap menghormati hak asasi manusia.</w:t>
      </w:r>
    </w:p>
    <w:p w14:paraId="7F1D7471" w14:textId="77777777" w:rsidR="00314325" w:rsidRDefault="00314325" w:rsidP="00314325">
      <w:pPr>
        <w:widowControl w:val="0"/>
        <w:spacing w:line="480" w:lineRule="auto"/>
        <w:ind w:firstLine="720"/>
        <w:jc w:val="both"/>
      </w:pPr>
      <w:r>
        <w:t xml:space="preserve">Penggunaan metode </w:t>
      </w:r>
      <w:r w:rsidRPr="00436E2E">
        <w:rPr>
          <w:i/>
        </w:rPr>
        <w:t>undercover buy</w:t>
      </w:r>
      <w:r>
        <w:t xml:space="preserve"> (pembelian terselubung) dalam proses penyelidikan tindak pidana narkotika memerlukan pengawasan yang ketat untuk memastikan bahwa prosedur dilakukan sesuai dengan ketentuan hukum dan prinsip perlindungan hak asasi manusia. Beberapa metode pengawasan yang dapat diterapkan meliputi:</w:t>
      </w:r>
      <w:r>
        <w:rPr>
          <w:rStyle w:val="FootnoteReference"/>
        </w:rPr>
        <w:footnoteReference w:id="5"/>
      </w:r>
    </w:p>
    <w:p w14:paraId="280919D9" w14:textId="77777777" w:rsidR="00314325" w:rsidRDefault="00314325" w:rsidP="00314325">
      <w:pPr>
        <w:pStyle w:val="ListParagraph"/>
        <w:widowControl w:val="0"/>
        <w:numPr>
          <w:ilvl w:val="0"/>
          <w:numId w:val="36"/>
        </w:numPr>
        <w:spacing w:line="480" w:lineRule="auto"/>
        <w:ind w:left="720"/>
        <w:jc w:val="both"/>
      </w:pPr>
      <w:r>
        <w:t>Pengawasan Internal oleh Aparat Penegak Hukum</w:t>
      </w:r>
    </w:p>
    <w:p w14:paraId="00316AFC" w14:textId="77777777" w:rsidR="00314325" w:rsidRDefault="00314325" w:rsidP="00314325">
      <w:pPr>
        <w:pStyle w:val="ListParagraph"/>
        <w:widowControl w:val="0"/>
        <w:spacing w:line="480" w:lineRule="auto"/>
        <w:jc w:val="both"/>
      </w:pPr>
      <w:r>
        <w:t xml:space="preserve">Lembaga penegak hukum, seperti Kepolisian dan Kejaksaan, harus memiliki mekanisme pengawasan internal, termasuk lembaga pengawas atau unit khusus yang bertugas memantau pelaksanaan metode </w:t>
      </w:r>
      <w:r w:rsidRPr="00973C20">
        <w:rPr>
          <w:i/>
        </w:rPr>
        <w:t>undercover buy</w:t>
      </w:r>
      <w:r>
        <w:t>. Hal ini bertujuan memastikan bahwa prosedur dilakukan sesuai standar operasional dan tidak menyimpang dari aturan hukum.</w:t>
      </w:r>
    </w:p>
    <w:p w14:paraId="02E1EE29" w14:textId="77777777" w:rsidR="00314325" w:rsidRDefault="00314325" w:rsidP="00314325">
      <w:pPr>
        <w:pStyle w:val="ListParagraph"/>
        <w:widowControl w:val="0"/>
        <w:numPr>
          <w:ilvl w:val="0"/>
          <w:numId w:val="36"/>
        </w:numPr>
        <w:spacing w:line="480" w:lineRule="auto"/>
        <w:ind w:left="720"/>
        <w:jc w:val="both"/>
      </w:pPr>
      <w:r>
        <w:t>Pengawasan Eksternal oleh Inspektorat dan Ombudsman</w:t>
      </w:r>
    </w:p>
    <w:p w14:paraId="307A5F9B" w14:textId="77777777" w:rsidR="00314325" w:rsidRDefault="00314325" w:rsidP="00314325">
      <w:pPr>
        <w:pStyle w:val="ListParagraph"/>
        <w:widowControl w:val="0"/>
        <w:spacing w:line="480" w:lineRule="auto"/>
        <w:jc w:val="both"/>
      </w:pPr>
      <w:r>
        <w:t>Pengawasan dari lembaga independen seperti Inspektorat Internal dan Ombudsman perlu dilakukan secara berkala. Mereka berfungsi untuk memastikan bahwa proses penyelidikan berjalan secara transparan dan tidak melanggar hak asasi tersangka maupun pihak lain yang terkait.</w:t>
      </w:r>
    </w:p>
    <w:p w14:paraId="61B294D0" w14:textId="77777777" w:rsidR="00314325" w:rsidRDefault="00314325" w:rsidP="00314325">
      <w:pPr>
        <w:pStyle w:val="ListParagraph"/>
        <w:widowControl w:val="0"/>
        <w:numPr>
          <w:ilvl w:val="0"/>
          <w:numId w:val="36"/>
        </w:numPr>
        <w:spacing w:line="480" w:lineRule="auto"/>
        <w:ind w:left="720"/>
        <w:jc w:val="both"/>
      </w:pPr>
      <w:r>
        <w:t>Pengawasan melalui Penggunaan Video Dokumentasi dan Laporan Tertulis</w:t>
      </w:r>
    </w:p>
    <w:p w14:paraId="1B03CF83" w14:textId="77777777" w:rsidR="00314325" w:rsidRDefault="00314325" w:rsidP="00314325">
      <w:pPr>
        <w:pStyle w:val="ListParagraph"/>
        <w:widowControl w:val="0"/>
        <w:spacing w:line="480" w:lineRule="auto"/>
        <w:jc w:val="both"/>
      </w:pPr>
      <w:r>
        <w:t xml:space="preserve">Setiap langkah dalam proses </w:t>
      </w:r>
      <w:r w:rsidRPr="00973C20">
        <w:rPr>
          <w:i/>
        </w:rPr>
        <w:t>undercover buy</w:t>
      </w:r>
      <w:r>
        <w:t xml:space="preserve"> harus didokumentasikan secara lengkap, termasuk rekaman video, foto, dan laporan tertulis dari aparat yang </w:t>
      </w:r>
      <w:r>
        <w:lastRenderedPageBreak/>
        <w:t>terlibat. Dokumentasi ini berfungsi sebagai bukti akuntabilitas dan dapat diaudit jika terjadi sengketa hukum atau dugaan penyalahgunaan.</w:t>
      </w:r>
    </w:p>
    <w:p w14:paraId="7C3C8B95" w14:textId="77777777" w:rsidR="00314325" w:rsidRDefault="00314325" w:rsidP="00314325">
      <w:pPr>
        <w:pStyle w:val="ListParagraph"/>
        <w:widowControl w:val="0"/>
        <w:numPr>
          <w:ilvl w:val="0"/>
          <w:numId w:val="36"/>
        </w:numPr>
        <w:spacing w:line="480" w:lineRule="auto"/>
        <w:ind w:left="720"/>
        <w:jc w:val="both"/>
      </w:pPr>
      <w:r>
        <w:t>Pengawasan oleh Pengadilan dan Pengadilan Hak Asasi Manusia</w:t>
      </w:r>
    </w:p>
    <w:p w14:paraId="39C3DFC5" w14:textId="77777777" w:rsidR="00314325" w:rsidRDefault="00314325" w:rsidP="00314325">
      <w:pPr>
        <w:pStyle w:val="ListParagraph"/>
        <w:widowControl w:val="0"/>
        <w:spacing w:line="480" w:lineRule="auto"/>
        <w:jc w:val="both"/>
      </w:pPr>
      <w:r>
        <w:t>Dalam hal bukti yang diperoleh melalui metode ini akan digunakan di pengadilan, pengadilan harus melakukan pengawasan terhadap keabsahan proses dan bukti yang diperoleh. Pengadilan dapat meminta keterangan dan melakukan penilaian terhadap prosedur yang dilakukan aparat, termasuk memastikan bahwa hak tersangka tidak dilanggar.</w:t>
      </w:r>
    </w:p>
    <w:p w14:paraId="2A6C6029" w14:textId="77777777" w:rsidR="00314325" w:rsidRDefault="00314325" w:rsidP="00314325">
      <w:pPr>
        <w:pStyle w:val="ListParagraph"/>
        <w:widowControl w:val="0"/>
        <w:numPr>
          <w:ilvl w:val="0"/>
          <w:numId w:val="36"/>
        </w:numPr>
        <w:spacing w:line="480" w:lineRule="auto"/>
        <w:ind w:left="720"/>
        <w:jc w:val="both"/>
      </w:pPr>
      <w:r>
        <w:t>Pelatihan dan Pembinaan terhadap Aparat Penegak Hukum</w:t>
      </w:r>
    </w:p>
    <w:p w14:paraId="1AB1C556" w14:textId="77777777" w:rsidR="00314325" w:rsidRDefault="00314325" w:rsidP="00314325">
      <w:pPr>
        <w:pStyle w:val="ListParagraph"/>
        <w:widowControl w:val="0"/>
        <w:spacing w:line="480" w:lineRule="auto"/>
        <w:jc w:val="both"/>
      </w:pPr>
      <w:r>
        <w:t xml:space="preserve">Pengawasan tidak hanya dilakukan secara eksternal, tetapi juga melalui pelatihan dan pembinaan terhadap aparat mengenai prosedur yang benar dalam menggunakan metode </w:t>
      </w:r>
      <w:r w:rsidRPr="00973C20">
        <w:rPr>
          <w:i/>
        </w:rPr>
        <w:t>undercover buy</w:t>
      </w:r>
      <w:r>
        <w:t>, serta aspek perlindungan HAM selama proses berlangsung.</w:t>
      </w:r>
    </w:p>
    <w:p w14:paraId="30EC2FD0" w14:textId="77777777" w:rsidR="00314325" w:rsidRDefault="00314325" w:rsidP="00314325">
      <w:pPr>
        <w:pStyle w:val="ListParagraph"/>
        <w:widowControl w:val="0"/>
        <w:numPr>
          <w:ilvl w:val="0"/>
          <w:numId w:val="36"/>
        </w:numPr>
        <w:spacing w:line="480" w:lineRule="auto"/>
        <w:ind w:left="720"/>
        <w:jc w:val="both"/>
      </w:pPr>
      <w:r>
        <w:t>Pengawasan melalui Regulasi dan Standar Operasional Prosedur (SOP)</w:t>
      </w:r>
    </w:p>
    <w:p w14:paraId="6FF3018C" w14:textId="77777777" w:rsidR="00314325" w:rsidRDefault="00314325" w:rsidP="00314325">
      <w:pPr>
        <w:pStyle w:val="ListParagraph"/>
        <w:widowControl w:val="0"/>
        <w:spacing w:line="480" w:lineRule="auto"/>
        <w:jc w:val="both"/>
      </w:pPr>
      <w:r>
        <w:t xml:space="preserve">Penerapan SOP yang jelas dan ketat dalam pelaksanaan </w:t>
      </w:r>
      <w:r w:rsidRPr="00973C20">
        <w:rPr>
          <w:i/>
        </w:rPr>
        <w:t>undercover buy</w:t>
      </w:r>
      <w:r>
        <w:t xml:space="preserve"> menjadi bagian penting dari pengawasan. SOP harus mengatur seluruh tahapan, mulai dari persiapan, pelaksanaan, hingga pelaporan hasil, serta pengawasan pelaksanaannya.</w:t>
      </w:r>
    </w:p>
    <w:p w14:paraId="588F4088" w14:textId="77777777" w:rsidR="00314325" w:rsidRDefault="00314325" w:rsidP="00314325">
      <w:pPr>
        <w:widowControl w:val="0"/>
        <w:spacing w:line="480" w:lineRule="auto"/>
        <w:ind w:firstLine="720"/>
        <w:jc w:val="both"/>
      </w:pPr>
      <w:r>
        <w:t xml:space="preserve">Dengan penerapan berbagai metode pengawasan ini, diharapkan penggunaan metode </w:t>
      </w:r>
      <w:r w:rsidRPr="00973C20">
        <w:rPr>
          <w:i/>
        </w:rPr>
        <w:t>undercover buy</w:t>
      </w:r>
      <w:r>
        <w:t xml:space="preserve"> dapat dilakukan secara efektif, sah secara hukum, dan tetap menghormati hak asasi manusia, serta mencegah potensi penyalahgunaan wewenang.</w:t>
      </w:r>
    </w:p>
    <w:p w14:paraId="0AAB982C"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r w:rsidRPr="00810C11">
        <w:t xml:space="preserve"> penerapan prinsip </w:t>
      </w:r>
      <w:r w:rsidRPr="00810C11">
        <w:lastRenderedPageBreak/>
        <w:t>perlindungan HAM dalam proses penangkapan terdakwa melalui metode pembelian terselubung</w:t>
      </w:r>
      <w:r>
        <w:t>, yaitu:</w:t>
      </w:r>
    </w:p>
    <w:p w14:paraId="73F97FA3" w14:textId="77777777" w:rsidR="00314325" w:rsidRDefault="00314325" w:rsidP="00314325">
      <w:pPr>
        <w:widowControl w:val="0"/>
        <w:ind w:left="720"/>
        <w:jc w:val="both"/>
      </w:pPr>
      <w:r w:rsidRPr="00810C11">
        <w:t>Secara umum, saya memandang bahwa penerapan prinsip perlindungan Hak Asasi Manusia (HAM) sangat penting dalam setiap proses penegakan hukum, termasuk dalam penggunaan metode pembelian terselubung. Metode ini memang efektif dalam mengungkap tindak pidana, terutama narkotika, namun harus dilakukan dengan memperhatikan hak-hak terdakwa agar tidak melanggar prinsip keadilan dan hak asasi manusia</w:t>
      </w:r>
      <w:r>
        <w:t xml:space="preserve">. </w:t>
      </w:r>
      <w:r w:rsidRPr="00810C11">
        <w:t>Dalam putusan yang saya tangani, saya menilai bahwa proses penangkapan tersebut harus memenuhi prosedur yang ketat, termasuk adanya izin dari pengadilan, pemberitahuan hak terdakwa, serta jaminan atas hak untuk mendapatkan bantuan hukum. Selain itu, bukti yang diperoleh melalui metode ini harus dapat dipertanggungjawabkan secara yuridis dan tidak melanggar hak terdakwa untuk didengar dan mendapatkan perlakuan yang adil.</w:t>
      </w:r>
      <w:r>
        <w:t xml:space="preserve"> </w:t>
      </w:r>
      <w:r w:rsidRPr="00810C11">
        <w:t>Saya percaya bahwa keberhasilan penegakan hukum tidak boleh mengorbankan hak asasi manusia. Oleh karena itu, dalam setiap kasus, saya selalu berusaha memastikan bahwa proses penangkapan dan penahanan dilakukan sesuai dengan ketentuan hukum dan prinsip perlindungan HAM, agar tidak menimbulkan keberatan di kemudian hari dan tet</w:t>
      </w:r>
      <w:r>
        <w:t>ap menjaga keadilan substantif.</w:t>
      </w:r>
      <w:r>
        <w:rPr>
          <w:rStyle w:val="FootnoteReference"/>
        </w:rPr>
        <w:footnoteReference w:id="6"/>
      </w:r>
    </w:p>
    <w:p w14:paraId="45A27E22" w14:textId="77777777" w:rsidR="00314325" w:rsidRDefault="00314325" w:rsidP="00314325">
      <w:pPr>
        <w:widowControl w:val="0"/>
        <w:ind w:left="720"/>
        <w:jc w:val="both"/>
      </w:pPr>
    </w:p>
    <w:p w14:paraId="05CDCA2D" w14:textId="77777777" w:rsidR="00314325" w:rsidRDefault="00314325" w:rsidP="00314325">
      <w:pPr>
        <w:widowControl w:val="0"/>
        <w:spacing w:line="480" w:lineRule="auto"/>
        <w:ind w:firstLine="720"/>
        <w:jc w:val="both"/>
      </w:pPr>
      <w:r>
        <w:t>Menurut analisis peneliti, jawaban hakim menunjukkan pemahaman yang mendalam mengenai pentingnya penerapan prinsip perlindungan HAM dalam proses penegakan hukum, termasuk dalam konteks penggunaan metode pembelian terselubung. Hakim menegaskan bahwa perlindungan HAM harus tetap menjadi prioritas utama, meskipun metode ini terbukti efektif dalam mengungkap tindak pidana narkotika.</w:t>
      </w:r>
    </w:p>
    <w:p w14:paraId="42D1E26F" w14:textId="77777777" w:rsidR="00314325" w:rsidRDefault="00314325" w:rsidP="00314325">
      <w:pPr>
        <w:widowControl w:val="0"/>
        <w:spacing w:line="480" w:lineRule="auto"/>
        <w:ind w:firstLine="720"/>
        <w:jc w:val="both"/>
      </w:pPr>
      <w:r>
        <w:t xml:space="preserve">Pernyataan ini mencerminkan kesadaran bahwa efektivitas penegakan hukum tidak boleh mengorbankan hak-hak asasi tersangka atau terdakwa. Hakim menyadari bahwa metode pembelian terselubung merupakan alat yang penting dan efektif, tetapi harus dilakukan sesuai dengan ketentuan hukum dan prinsip HAM agar proses </w:t>
      </w:r>
      <w:r>
        <w:lastRenderedPageBreak/>
        <w:t>penegakan hukum berjalan adil dan berkeadilan.</w:t>
      </w:r>
    </w:p>
    <w:p w14:paraId="08E89E1C" w14:textId="77777777" w:rsidR="00314325" w:rsidRDefault="00314325" w:rsidP="00314325">
      <w:pPr>
        <w:widowControl w:val="0"/>
        <w:spacing w:line="480" w:lineRule="auto"/>
        <w:ind w:firstLine="720"/>
        <w:jc w:val="both"/>
      </w:pPr>
      <w:r>
        <w:t xml:space="preserve">Analisis lebih dalam menunjukkan bahwa jawaban ini menyeimbangkan aspek keberhasilan operasional dalam pemberantasan narkotika dengan prinsip keadilan dan hak asasi manusia. Hal ini menunjukkan bahwa hakim memegang teguh standar profesionalisme dan integritas dalam menjalankan tugasnya, serta mendukung penerapan prosedur yang sah dan manusiawi dalam penegakan hukum.  </w:t>
      </w:r>
      <w:r w:rsidRPr="000C23A6">
        <w:t>Namun, jawaban ini juga membuka ruang untuk diskusi lebih lanjut mengenai tantangan dalam menerapkan metode ini secara efektif tanpa melanggar HAM, serta perlunya pengawasan dan pengaturan yang ketat untuk menjaga keseimbangan tersebut.</w:t>
      </w:r>
    </w:p>
    <w:p w14:paraId="5F064D38"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0FCD4E44" w14:textId="77777777" w:rsidR="00314325" w:rsidRDefault="00314325" w:rsidP="00314325">
      <w:pPr>
        <w:pStyle w:val="ListParagraph"/>
        <w:jc w:val="both"/>
      </w:pPr>
      <w:r w:rsidRPr="001B69F4">
        <w:t>Dalam mempertimbangkan proses undercover buy, aspek utama yang menjadi perhatian saya adalah perlindungan hak asasi terdakwa agar tetap terpenuhi meskipun dilakukan dengan metode penyamaran. Secara garis besar, beberapa aspek penting yang saya perhatikan meliputi:</w:t>
      </w:r>
    </w:p>
    <w:p w14:paraId="52402FEA" w14:textId="77777777" w:rsidR="00314325" w:rsidRDefault="00314325" w:rsidP="00314325">
      <w:pPr>
        <w:pStyle w:val="ListParagraph"/>
        <w:numPr>
          <w:ilvl w:val="0"/>
          <w:numId w:val="38"/>
        </w:numPr>
        <w:ind w:left="1080"/>
        <w:jc w:val="both"/>
      </w:pPr>
      <w:r>
        <w:t>Hak atas informasi: Terdakwa harus diberikan hak untuk mengetahui alasan penangkapan dan proses hukum yang sedang berlangsung, serta hak untuk mendapatkan penjelasan dari penegak hukum.</w:t>
      </w:r>
    </w:p>
    <w:p w14:paraId="037AFA1B" w14:textId="77777777" w:rsidR="00314325" w:rsidRDefault="00314325" w:rsidP="00314325">
      <w:pPr>
        <w:pStyle w:val="ListParagraph"/>
        <w:numPr>
          <w:ilvl w:val="0"/>
          <w:numId w:val="38"/>
        </w:numPr>
        <w:ind w:left="1080"/>
        <w:jc w:val="both"/>
      </w:pPr>
      <w:r>
        <w:t>Hak atas pembelaan: Terdakwa harus tetap memiliki akses terhadap penasihat hukum sejak awal proses, termasuk saat penangkapan dan pemeriksaan awal, untuk memastikan hak mendapatkan pendampingan hukum terpenuhi.</w:t>
      </w:r>
    </w:p>
    <w:p w14:paraId="1FD985F9" w14:textId="77777777" w:rsidR="00314325" w:rsidRDefault="00314325" w:rsidP="00314325">
      <w:pPr>
        <w:pStyle w:val="ListParagraph"/>
        <w:numPr>
          <w:ilvl w:val="0"/>
          <w:numId w:val="38"/>
        </w:numPr>
        <w:ind w:left="1080"/>
        <w:jc w:val="both"/>
      </w:pPr>
      <w:r>
        <w:t>Prosedur penangkapan yang sah: Meskipun dilakukan dengan metode undercover, proses penangkapan harus dilakukan sesuai prosedur hukum yang berlaku, termasuk adanya izin dari pengadilan dan dokumentasi yang lengkap.</w:t>
      </w:r>
    </w:p>
    <w:p w14:paraId="76F562B7" w14:textId="77777777" w:rsidR="00314325" w:rsidRDefault="00314325" w:rsidP="00314325">
      <w:pPr>
        <w:pStyle w:val="ListParagraph"/>
        <w:numPr>
          <w:ilvl w:val="0"/>
          <w:numId w:val="38"/>
        </w:numPr>
        <w:ind w:left="1080"/>
        <w:jc w:val="both"/>
      </w:pPr>
      <w:r>
        <w:t>Penggunaan bukti yang sah: Bukti yang diperoleh dari proses undercover harus memenuhi ketentuan hukum dan tidak melanggar hak terdakwa, serta harus dapat dipertanggungjawabkan secara yuridis.</w:t>
      </w:r>
    </w:p>
    <w:p w14:paraId="3ED90EB3" w14:textId="77777777" w:rsidR="00314325" w:rsidRDefault="00314325" w:rsidP="00314325">
      <w:pPr>
        <w:pStyle w:val="ListParagraph"/>
        <w:numPr>
          <w:ilvl w:val="0"/>
          <w:numId w:val="38"/>
        </w:numPr>
        <w:ind w:left="1080"/>
        <w:jc w:val="both"/>
      </w:pPr>
      <w:r>
        <w:t>Perlakuan manusiawi: Selama proses berlangsung, terdakwa harus diperlakukan secara manusiawi dan tidak mengalami perlakuan yang menyakitinya secara fisik maupun psikis.</w:t>
      </w:r>
    </w:p>
    <w:p w14:paraId="2815CB8F" w14:textId="77777777" w:rsidR="00314325" w:rsidRDefault="00314325" w:rsidP="00314325">
      <w:pPr>
        <w:pStyle w:val="ListParagraph"/>
        <w:numPr>
          <w:ilvl w:val="0"/>
          <w:numId w:val="38"/>
        </w:numPr>
        <w:ind w:left="1080"/>
        <w:jc w:val="both"/>
      </w:pPr>
      <w:r w:rsidRPr="001B69F4">
        <w:lastRenderedPageBreak/>
        <w:t>Kerahasiaan dan keamanan: Hak terdakwa atas privasi dan keamanan tetap harus dijaga, agar proses undercover tidak menimbulkan tekanan atau intimidasi yang berlebihan.</w:t>
      </w:r>
    </w:p>
    <w:p w14:paraId="672F0151" w14:textId="77777777" w:rsidR="00314325" w:rsidRDefault="00314325" w:rsidP="00314325">
      <w:pPr>
        <w:ind w:left="720"/>
        <w:jc w:val="both"/>
      </w:pPr>
      <w:r w:rsidRPr="001B69F4">
        <w:t>Secara umum, saya menilai bahwa penerapan metode undercover harus dilakukan secara hati-hati dan berimbang, agar efektivitasnya tidak mengabaikan hak dasar terdakwa. Dalam putusan ini, saya memastikan bahwa proses tersebut dilaksanakan sesuai dengan prinsip-prinsip perlindungan HAM dan keadilan substantif.</w:t>
      </w:r>
      <w:r>
        <w:rPr>
          <w:rStyle w:val="FootnoteReference"/>
        </w:rPr>
        <w:footnoteReference w:id="7"/>
      </w:r>
    </w:p>
    <w:p w14:paraId="11526E80" w14:textId="77777777" w:rsidR="00314325" w:rsidRDefault="00314325" w:rsidP="00314325">
      <w:pPr>
        <w:ind w:left="720"/>
        <w:jc w:val="both"/>
      </w:pPr>
    </w:p>
    <w:p w14:paraId="2265D176" w14:textId="77777777" w:rsidR="00314325" w:rsidRDefault="00314325" w:rsidP="00314325">
      <w:pPr>
        <w:widowControl w:val="0"/>
        <w:spacing w:line="480" w:lineRule="auto"/>
        <w:ind w:firstLine="720"/>
        <w:jc w:val="both"/>
      </w:pPr>
      <w:r>
        <w:t xml:space="preserve">Menurut analisis peneliti, jawaban hakim menegaskan bahwa aspek utama dalam proses </w:t>
      </w:r>
      <w:r w:rsidRPr="00A95816">
        <w:rPr>
          <w:i/>
        </w:rPr>
        <w:t>undercover buy</w:t>
      </w:r>
      <w:r>
        <w:t xml:space="preserve"> adalah perlindungan hak asasi terdakwa, meskipun dilakukan melalui metode penyamaran. Ini menunjukkan kesadaran hakim akan pentingnya menjaga keseimbangan antara efektivitas penegakan hukum dan perlindungan hak asasi manusia.</w:t>
      </w:r>
    </w:p>
    <w:p w14:paraId="37214EBF" w14:textId="77777777" w:rsidR="00314325" w:rsidRDefault="00314325" w:rsidP="00314325">
      <w:pPr>
        <w:widowControl w:val="0"/>
        <w:spacing w:line="480" w:lineRule="auto"/>
        <w:ind w:firstLine="720"/>
        <w:jc w:val="both"/>
      </w:pPr>
      <w:r>
        <w:t>Pernyataan ini mencerminkan bahwa hakim memandang bahwa proses penyamaran atau penyamaran harus dilakukan secara hati-hati dan dengan memperhatikan prinsip-prinsip HAM. Ia menegaskan bahwa keberhasilan operasi tidak boleh mengorbankan hak-hak terdakwa, seperti hak atas pembelaan, hak untuk tidak disiksa, dan hak atas keadilan.</w:t>
      </w:r>
    </w:p>
    <w:p w14:paraId="13D6B5AE" w14:textId="77777777" w:rsidR="00314325" w:rsidRDefault="00314325" w:rsidP="00314325">
      <w:pPr>
        <w:widowControl w:val="0"/>
        <w:spacing w:line="480" w:lineRule="auto"/>
        <w:ind w:firstLine="720"/>
        <w:jc w:val="both"/>
      </w:pPr>
      <w:r>
        <w:t xml:space="preserve">Dari sudut pandang analisis, jawaban ini menunjukkan bahwa hakim mengedepankan pendekatan humanis dan berkeadilan dalam penegakan hukum. Ia juga menyiratkan pentingnya regulasi yang ketat dan pengawasan yang cermat terhadap penggunaan metode penyamaran agar tidak melanggar hak-hak terdakwa secara tidak sah. Namun, jawaban ini juga membuka peluang untuk diskusi lebih jauh mengenai tantangan implementasi perlindungan HAM dalam praktik undercover buy, terutama dalam situasi di mana prosedur penyamaran dapat menimbulkan risiko </w:t>
      </w:r>
      <w:r>
        <w:lastRenderedPageBreak/>
        <w:t>penyimpangan atau pelanggaran hak.</w:t>
      </w:r>
    </w:p>
    <w:p w14:paraId="2F0481D8"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5AF606B2" w14:textId="77777777" w:rsidR="00314325" w:rsidRDefault="00314325" w:rsidP="00314325">
      <w:pPr>
        <w:pStyle w:val="ListParagraph"/>
        <w:jc w:val="both"/>
      </w:pPr>
      <w:r w:rsidRPr="00755858">
        <w:t>Secara umum, saya menilai bahwa proses penangkapan melalui metode terselubung tidak selalu memenuhi prinsip due process secara penuh, kecuali jika dilakukan dengan prosedur yang sangat ketat dan sesuai ketentuan hukum yang berlaku. Due process menuntut adanya keadilan, transparansi, dan jaminan hak-hak terdakwa selama proses penegakan hukum.</w:t>
      </w:r>
      <w:r>
        <w:t xml:space="preserve"> </w:t>
      </w:r>
      <w:r w:rsidRPr="00755858">
        <w:t>Dalam banyak kasus, proses terselubung memang efektif untuk mengungkap tindak pidana berat, namun harus diimbangi dengan perlindungan hak asasi terdakwa. Jika proses ini dilakukan tanpa izin pengadilan, tanpa pemberitahuan hak, dan tanpa prosedur yang jelas, maka saya yakin bahwa prinsip due process tidak terpenuhi.</w:t>
      </w:r>
      <w:r>
        <w:t xml:space="preserve"> </w:t>
      </w:r>
      <w:r w:rsidRPr="00755858">
        <w:t>Sebaliknya, jika proses terselubung dilakukan dengan memperoleh izin dari pengadilan secara sah, mengikuti prosedur yang diatur dalam KUHAP, serta memastikan terdakwa tetap mendapatkan hak-haknya, maka saya bisa menilai bahwa proses tersebut memenuhi prinsip due process. Jadi, intinya tergantung pada bagaimana proses tersebut dilaksanakan dan apakah semua prosedur hukum terkait dipatuhi secara ketat.</w:t>
      </w:r>
      <w:r>
        <w:rPr>
          <w:rStyle w:val="FootnoteReference"/>
        </w:rPr>
        <w:footnoteReference w:id="8"/>
      </w:r>
    </w:p>
    <w:p w14:paraId="2B6BC297" w14:textId="77777777" w:rsidR="00314325" w:rsidRDefault="00314325" w:rsidP="00314325">
      <w:pPr>
        <w:pStyle w:val="ListParagraph"/>
        <w:jc w:val="both"/>
      </w:pPr>
    </w:p>
    <w:p w14:paraId="6014F238" w14:textId="77777777" w:rsidR="00314325" w:rsidRDefault="00314325" w:rsidP="00314325">
      <w:pPr>
        <w:widowControl w:val="0"/>
        <w:spacing w:line="480" w:lineRule="auto"/>
        <w:ind w:firstLine="720"/>
        <w:jc w:val="both"/>
      </w:pPr>
      <w:r>
        <w:t>Menurut analisis peneliti jawaban hakim menyatakan bahwa proses penangkapan melalui metode terselubung atau undercover tidak otomatis memenuhi prinsip due process secara penuh, kecuali dilakukan dengan prosedur yang sangat ketat dan sesuai ketentuan hukum yang berlaku. Pernyataan ini menunjukkan pemahaman yang mendalam tentang pentingnya prinsip keadilan prosedural dalam sistem peradilan pidana. Hakim menegaskan bahwa keberhasilan proses penangkapan terselubung harus diimbangi dengan penerapan prosedur hukum yang ketat agar hak-hak terdakwa tetap terlindungi dan prosesnya memenuhi standar keadilan. Hal ini mencerminkan bahwa prosedur yang longgar atau tidak sesuai dapat menimbulkan keraguan terhadap keabsahan bukti dan legitimasi proses penangkapan tersebut.</w:t>
      </w:r>
    </w:p>
    <w:p w14:paraId="1E9D469B" w14:textId="77777777" w:rsidR="00314325" w:rsidRDefault="00314325" w:rsidP="00314325">
      <w:pPr>
        <w:widowControl w:val="0"/>
        <w:spacing w:line="480" w:lineRule="auto"/>
        <w:ind w:firstLine="720"/>
        <w:jc w:val="both"/>
      </w:pPr>
      <w:r>
        <w:lastRenderedPageBreak/>
        <w:t>Dari sudut pandang analisis, jawaban ini menunjukkan bahwa hakim mengakui adanya risiko pelanggaran hak asasi dan prinsip due process dalam penggunaan metode terselubung, sehingga menekankan perlunya kerangka hukum yang jelas dan ketat. Ia menegaskan bahwa prosedur yang tidak memadai dapat berakibat pada tidak sahnya tindakan tersebut dan berpotensi melanggar hak terdakwa. Selain itu, jawaban ini juga mengandung pesan bahwa dalam praktiknya, penggunaan metode terselubung harus diatur secara ketat oleh aturan hukum dan diawasi secara ketat pula agar tidak menyimpang dari prinsip keadilan dan hak asasi manusia. Secara keseluruhan, jawaban ini mencerminkan keseimbangan antara efektivitas penegakan hukum dan perlindungan prinsip due process, serta menegaskan bahwa keberhasilan suatu proses hukum tidak hanya bergantung pada hasilnya, tetapi juga pada prosedur yang dijalankan secara benar dan adil.</w:t>
      </w:r>
    </w:p>
    <w:p w14:paraId="12AA703E"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2FA0BC63" w14:textId="77777777" w:rsidR="00314325" w:rsidRDefault="00314325" w:rsidP="00314325">
      <w:pPr>
        <w:widowControl w:val="0"/>
        <w:ind w:left="720"/>
        <w:jc w:val="both"/>
      </w:pPr>
      <w:r w:rsidRPr="003B562F">
        <w:t>Secara umum, keabsahan bukti yang diperoleh dari proses undercover buy harus memenuhi ketentuan hukum yang berlaku agar dapat dipertimbangkan sah dan dapat digunakan dalam proses peradilan. Dalam konteks perlindungan HAM, penting untuk memastikan bahwa pengumpulan bukti tersebut tidak melanggar hak asasi terdakwa, seperti hak atas privasi, hak untuk mendapatkan perlakuan yang manusiawi, dan hak atas proses yang adil.</w:t>
      </w:r>
      <w:r>
        <w:t xml:space="preserve"> </w:t>
      </w:r>
      <w:r w:rsidRPr="003B562F">
        <w:t xml:space="preserve">Jika bukti diperoleh sesuai prosedur hukum, seperti dengan izin dari pengadilan yang sah, tanpa adanya paksaan, intimidasi, atau penyiksaan, serta dilakukan secara transparan dan dapat dipertanggungjawabkan, maka saya menilai bahwa bukti tersebut memiliki keabsahan hukum dan tidak melanggar prinsip perlindungan HAM. Sebaliknya, jika bukti diperoleh secara melanggar hak asasi terdakwa, misalnya melalui penyiksaan, intimidasi berlebihan, atau tanpa izin yang sah, maka keabsahan bukti tersebut harus dipertimbangkan kembali dan kemungkinan besar tidak dapat digunakan sebagai dasar putusan </w:t>
      </w:r>
      <w:r w:rsidRPr="003B562F">
        <w:lastRenderedPageBreak/>
        <w:t>karena bertentangan dengan prinsip keadilan dan perlindungan HAM.</w:t>
      </w:r>
      <w:r>
        <w:rPr>
          <w:rStyle w:val="FootnoteReference"/>
        </w:rPr>
        <w:footnoteReference w:id="9"/>
      </w:r>
    </w:p>
    <w:p w14:paraId="4467EED7" w14:textId="77777777" w:rsidR="00314325" w:rsidRDefault="00314325" w:rsidP="00314325">
      <w:pPr>
        <w:widowControl w:val="0"/>
        <w:ind w:left="720"/>
        <w:jc w:val="both"/>
      </w:pPr>
    </w:p>
    <w:p w14:paraId="624295E1" w14:textId="77777777" w:rsidR="00314325" w:rsidRDefault="00314325" w:rsidP="00314325">
      <w:pPr>
        <w:widowControl w:val="0"/>
        <w:spacing w:line="480" w:lineRule="auto"/>
        <w:ind w:firstLine="720"/>
        <w:jc w:val="both"/>
      </w:pPr>
      <w:r>
        <w:t>Menurut analisis peneliti, jawaban hakim menegaskan bahwa dalam rangka perlindungan Hak Asasi Manusia (HAM), pengumpulan bukti harus dilakukan dengan memperhatikan hak-hak terdakwa, seperti hak atas privasi, hak mendapatkan perlakuan yang manusiawi, dan hak atas proses yang adil. Pernyataan ini menunjukkan kesadaran hakim akan pentingnya menjaga keseimbangan antara penegakan hukum dan perlindungan hak asasi manusia.</w:t>
      </w:r>
    </w:p>
    <w:p w14:paraId="2F7CC888" w14:textId="77777777" w:rsidR="00314325" w:rsidRDefault="00314325" w:rsidP="00314325">
      <w:pPr>
        <w:widowControl w:val="0"/>
        <w:spacing w:line="480" w:lineRule="auto"/>
        <w:ind w:firstLine="720"/>
        <w:jc w:val="both"/>
      </w:pPr>
      <w:r>
        <w:t>Dari sudut pandang analisis, jawaban ini mencerminkan prinsip bahwa meskipun proses pengumpulan bukti, termasuk metode undercover buy, merupakan bagian penting dari penegakan hukum, proses tersebut tidak boleh mengabaikan hak-hak fundamental terdakwa. Hak atas privasi misalnya, menuntut bahwa pengumpulan bukti harus dilakukan secara sah dan tidak melanggar ruang pribadi terdakwa. Hak mendapatkan perlakuan manusiawi menegaskan bahwa terdakwa harus diperlakukan secara manusiawi selama proses penyidikan dan pengadilan. Sedangkan hak atas proses yang adil memastikan bahwa terdakwa memiliki kesempatan untuk membela diri dan proses hukum berjalan secara jujur dan transparan.</w:t>
      </w:r>
    </w:p>
    <w:p w14:paraId="6125E38B" w14:textId="77777777" w:rsidR="00314325" w:rsidRDefault="00314325" w:rsidP="00314325">
      <w:pPr>
        <w:widowControl w:val="0"/>
        <w:spacing w:line="480" w:lineRule="auto"/>
        <w:ind w:firstLine="720"/>
        <w:jc w:val="both"/>
      </w:pPr>
      <w:r>
        <w:t xml:space="preserve">Jawaban ini menegaskan bahwa perlindungan HAM bukan sekadar prinsip moral, melainkan juga merupakan bagian integral dari sistem peradilan yang adil dan sah. Oleh karena itu, pengumpulan bukti harus dilakukan sesuai dengan prosedur hukum yang melindungi hak asasi terdakwa, agar tidak terjadi pelanggaran yang dapat merusak kepercayaan publik terhadap lembaga peradilan. Secara keseluruhan, </w:t>
      </w:r>
      <w:r>
        <w:lastRenderedPageBreak/>
        <w:t>jawaban ini menunjukkan bahwa hakim menganggap perlindungan HAM sebagai fondasi utama dalam setiap proses hukum, termasuk dalam pengumpulan bukti melalui metode undercover buy. Hal ini penting untuk memastikan bahwa proses peradilan tidak hanya efektif, tetapi juga adil dan menghormati hak asasi manusia.</w:t>
      </w:r>
    </w:p>
    <w:p w14:paraId="0597390C"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157423E7" w14:textId="77777777" w:rsidR="00314325" w:rsidRDefault="00314325" w:rsidP="00314325">
      <w:pPr>
        <w:widowControl w:val="0"/>
        <w:ind w:left="720"/>
        <w:jc w:val="both"/>
      </w:pPr>
      <w:r w:rsidRPr="003B562F">
        <w:t>Untuk memastikan bahwa proses penangkapan tidak melanggar hak asasi terdakwa, ada beberapa prosedur dan mekanisme pengawasan yang harus diikuti dan diterapkan secara ketat. Pertama, harus ada izin tertulis dari pengadilan sebelum melakukan penangkapan, terutama jika dilakukan secara terselubung atau undercover, sesuai ketentuan dalam KUHAP.</w:t>
      </w:r>
      <w:r>
        <w:t xml:space="preserve"> </w:t>
      </w:r>
      <w:r w:rsidRPr="003B562F">
        <w:t>Kedua, selama proses penangkapan, petugas harus memberi tahu identitas diri dan alasan penangkapan kepada terdakwa secepatnya, serta hak-haknya, termasuk hak untuk didampingi pengacara dan hak untuk diam.</w:t>
      </w:r>
      <w:r>
        <w:t xml:space="preserve"> </w:t>
      </w:r>
      <w:r w:rsidRPr="003B562F">
        <w:t>Ketiga, proses penangkapan harus dilakukan secara manusiawi dan tanpa kekerasan yang tidak perlu, serta harus mematuhi prosedur yang diatur dalam peraturan perundang-undangan.</w:t>
      </w:r>
      <w:r>
        <w:t xml:space="preserve"> </w:t>
      </w:r>
      <w:r w:rsidRPr="003B562F">
        <w:t>Keempat, pengawasan internal dari aparat penegak hukum sendiri dan pengawasan eksternal dari lembaga pengawas seperti Komisi Yudisial atau Komisi Nasional Hak Asasi Manusia (Komnas HAM) harus dilakukan secara rutin.</w:t>
      </w:r>
      <w:r>
        <w:t xml:space="preserve"> </w:t>
      </w:r>
      <w:r w:rsidRPr="003B562F">
        <w:t>Kelima, adanya catatan tertulis dan dokumentasi lengkap mengenai proses penangkapan, termasuk pertimbangan hukum dan izin yang diperoleh, agar dapat dipertanggungjawabkan dan diaudit jika diperlukan.</w:t>
      </w:r>
      <w:r>
        <w:t xml:space="preserve"> </w:t>
      </w:r>
      <w:r w:rsidRPr="003B562F">
        <w:t>Selain itu, penting juga adanya mekanisme pengaduan dan perlindungan bagi terdakwa jika terjadi pelanggaran hak selama proses penangkapan berlangsung.</w:t>
      </w:r>
      <w:r>
        <w:rPr>
          <w:rStyle w:val="FootnoteReference"/>
        </w:rPr>
        <w:footnoteReference w:id="10"/>
      </w:r>
    </w:p>
    <w:p w14:paraId="239224A5" w14:textId="77777777" w:rsidR="00314325" w:rsidRDefault="00314325" w:rsidP="00314325">
      <w:pPr>
        <w:widowControl w:val="0"/>
        <w:ind w:left="720"/>
        <w:jc w:val="both"/>
      </w:pPr>
    </w:p>
    <w:p w14:paraId="38948B9C" w14:textId="77777777" w:rsidR="00314325" w:rsidRDefault="00314325" w:rsidP="00314325">
      <w:pPr>
        <w:widowControl w:val="0"/>
        <w:spacing w:line="480" w:lineRule="auto"/>
        <w:ind w:firstLine="720"/>
        <w:jc w:val="both"/>
      </w:pPr>
      <w:r>
        <w:t xml:space="preserve">Menurut analisis peneliti, jawaban hakim menyatakan bahwa proses penangkapan tidak melanggar hak asasi terdakwa asalkan mengikuti prosedur dan mekanisme pengawasan yang ketat, termasuk memperoleh izin tertulis dari pengadilan sebelum melakukan penangkapan, terutama dalam metode terselubung atau undercover. Pernyataan ini menunjukkan pengakuan bahwa legalitas dan keabsahan penangkapan sangat bergantung pada kepatuhan terhadap ketentuan </w:t>
      </w:r>
      <w:r>
        <w:lastRenderedPageBreak/>
        <w:t>hukum yang berlaku, khususnya sesuai dengan KUHAP.</w:t>
      </w:r>
    </w:p>
    <w:p w14:paraId="35BCA5F5" w14:textId="77777777" w:rsidR="00314325" w:rsidRDefault="00314325" w:rsidP="00314325">
      <w:pPr>
        <w:widowControl w:val="0"/>
        <w:spacing w:line="480" w:lineRule="auto"/>
        <w:ind w:firstLine="720"/>
        <w:jc w:val="both"/>
      </w:pPr>
      <w:r>
        <w:t>Dari sudut pandang analisis, jawaban ini menegaskan pentingnya prosedur formal sebagai pelindung hak asasi terdakwa. Izin tertulis dari pengadilan merupakan mekanisme pengawasan yang penting untuk memastikan bahwa penangkapan dilakukan berdasarkan dasar hukum yang sah dan tidak sewenang-wenang. Hal ini juga memperkuat prinsip checks and balances dalam sistem peradilan pidana, sehingga proses penangkapan harus diawasi dan disahkan oleh otoritas pengadilan yang berwenang.</w:t>
      </w:r>
    </w:p>
    <w:p w14:paraId="21376A05" w14:textId="77777777" w:rsidR="00314325" w:rsidRDefault="00314325" w:rsidP="00314325">
      <w:pPr>
        <w:widowControl w:val="0"/>
        <w:spacing w:line="480" w:lineRule="auto"/>
        <w:ind w:firstLine="720"/>
        <w:jc w:val="both"/>
      </w:pPr>
      <w:r>
        <w:t>Lebih jauh, jawaban ini menunjukkan bahwa penggunaan metode terselubung atau undercover harus diatur secara ketat dan memerlukan izin dari pengadilan, agar tidak melanggar hak terdakwa dan memastikan bahwa proses penangkapan tetap memenuhi prinsip due process. Ini juga mencerminkan bahwa prosedur yang ketat dan mekanisme pengawasan yang disiplin adalah kunci utama dalam menjaga keabsahan dan keadilan proses hukum. Secara keseluruhan, jawaban ini menunjukkan bahwa hakim menganggap bahwa pelaksanaan penangkapan, termasuk metode terselubung, dapat dilakukan secara sah dan adil jika mengikuti prosedur hukum yang ketat dan mendapatkan izin dari pengadilan sesuai ketentuan KUHAP. Hal ini penting untuk menjaga legitimasi proses penegakan hukum sekaligus melindungi hak-hak asasi terdakwa.</w:t>
      </w:r>
    </w:p>
    <w:p w14:paraId="65EAF644"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01F66E3E" w14:textId="77777777" w:rsidR="00314325" w:rsidRDefault="00314325" w:rsidP="00314325">
      <w:pPr>
        <w:pStyle w:val="ListParagraph"/>
        <w:jc w:val="both"/>
      </w:pPr>
      <w:r w:rsidRPr="003B562F">
        <w:t xml:space="preserve">Ya, dalam proses peradilan yang adil, hak terdakwa atas informasi dan pembelaan merupakan hak asasi yang harus dihormati dan dijamin. Dalam putusan ini, kami mempertimbangkan bahwa terdakwa telah diberikan </w:t>
      </w:r>
      <w:r w:rsidRPr="003B562F">
        <w:lastRenderedPageBreak/>
        <w:t>kesempatan untuk memperoleh informasi lengkap mengenai tuduhan yang dihadapi, termasuk bukti-bukti yang diajukan dan haknya untuk didampingi pengacara sejak awal proses pemeriksaan.</w:t>
      </w:r>
      <w:r>
        <w:t xml:space="preserve"> </w:t>
      </w:r>
      <w:r w:rsidRPr="003B562F">
        <w:t>Selain itu, kami juga memastikan bahwa terdakwa memiliki akses yang memadai terhadap penasihat hukum agar dapat menyusun pembelaan secara optimal. Jika terdapat kekurangan dalam pemberian informasi atau hambatan dalam proses pembelaan, hal tersebut akan menjadi pertimbangan penting dalam penilaian kami terhadap keadilan proses.</w:t>
      </w:r>
      <w:r>
        <w:t xml:space="preserve"> </w:t>
      </w:r>
      <w:r w:rsidRPr="003B562F">
        <w:t>Pertimbangan khusus ini juga berkaitan dengan prinsip perlindungan HAM yang harus dijunjung tinggi dalam setiap putusan pengadilan, sehingga hak terdakwa untuk mendapatkan keadilan dan pembelaan yang layak menjadi bagian integral dari proses peradilan yang kami lakukan.</w:t>
      </w:r>
      <w:r>
        <w:rPr>
          <w:rStyle w:val="FootnoteReference"/>
        </w:rPr>
        <w:footnoteReference w:id="11"/>
      </w:r>
    </w:p>
    <w:p w14:paraId="65EFE456" w14:textId="77777777" w:rsidR="00314325" w:rsidRDefault="00314325" w:rsidP="00314325">
      <w:pPr>
        <w:pStyle w:val="ListParagraph"/>
        <w:jc w:val="both"/>
      </w:pPr>
    </w:p>
    <w:p w14:paraId="3F17B0B4" w14:textId="77777777" w:rsidR="00314325" w:rsidRDefault="00314325" w:rsidP="00314325">
      <w:pPr>
        <w:widowControl w:val="0"/>
        <w:spacing w:line="480" w:lineRule="auto"/>
        <w:ind w:firstLine="720"/>
        <w:jc w:val="both"/>
      </w:pPr>
      <w:r>
        <w:t>Menurut analisis peneliti, jawaban hakim menegaskan bahwa dalam proses peradilan yang adil, hak terdakwa atas informasi dan pembelaan merupakan hak asasi manusia yang harus dihormati dan dijamin. Hak ini termasuk pemberian kesempatan kepada terdakwa untuk memperoleh informasi lengkap mengenai tuduhan yang dihadapinya, bukti-bukti yang diajukan, serta hak untuk didampingi pengacara selama proses berlangsung.</w:t>
      </w:r>
    </w:p>
    <w:p w14:paraId="0AE2C4BB" w14:textId="77777777" w:rsidR="00314325" w:rsidRDefault="00314325" w:rsidP="00314325">
      <w:pPr>
        <w:widowControl w:val="0"/>
        <w:spacing w:line="480" w:lineRule="auto"/>
        <w:ind w:firstLine="720"/>
        <w:jc w:val="both"/>
      </w:pPr>
      <w:r>
        <w:t>Dari sudut pandang analisis, jawaban ini menunjukkan bahwa hakim menyadari pentingnya menjamin hak-hak dasar terdakwa sebagai bagian integral dari prinsip peradilan yang adil. Hak atas informasi memastikan bahwa terdakwa dapat memahami secara menyeluruh tuduhan dan bukti yang ada, sehingga dapat mempersiapkan pembelaannya secara optimal. Hak didampingi pengacara menegaskan perlindungan terhadap terdakwa dari kemungkinan penyalahgunaan kekuasaan dan memastikan adanya advokasi yang kompeten dalam proses peradilan.</w:t>
      </w:r>
    </w:p>
    <w:p w14:paraId="38A1FD85" w14:textId="77777777" w:rsidR="00314325" w:rsidRDefault="00314325" w:rsidP="00314325">
      <w:pPr>
        <w:widowControl w:val="0"/>
        <w:spacing w:line="480" w:lineRule="auto"/>
        <w:ind w:firstLine="720"/>
        <w:jc w:val="both"/>
      </w:pPr>
      <w:r>
        <w:t xml:space="preserve">Selain itu, jawaban ini mencerminkan bahwa proses pengadilan harus bersifat transparan dan menjunjung tinggi hak asasi manusia, sesuai dengan ketentuan hukum </w:t>
      </w:r>
      <w:r>
        <w:lastRenderedPageBreak/>
        <w:t>nasional maupun internasional. Pemberian hak-hak tersebut juga mendukung asas audi alteram partem (dengar pendapat pihak lain) dan asas keadilan substantif, yang merupakan dasar dari sistem peradilan pidana yang berkeadilan.</w:t>
      </w:r>
    </w:p>
    <w:p w14:paraId="3987AB03" w14:textId="77777777" w:rsidR="00314325" w:rsidRDefault="00314325" w:rsidP="00314325">
      <w:pPr>
        <w:widowControl w:val="0"/>
        <w:spacing w:line="480" w:lineRule="auto"/>
        <w:ind w:firstLine="720"/>
        <w:jc w:val="both"/>
      </w:pPr>
      <w:r>
        <w:t>Secara keseluruhan, jawaban ini menunjukkan bahwa hakim memandang bahwa perlindungan hak asasi terdakwa, termasuk hak atas informasi dan pembelaan, adalah prasyarat utama untuk memastikan proses peradilan yang adil dan tidak melanggar hak asasi manusia. Hal ini penting untuk menjaga kepercayaan masyarakat terhadap sistem peradilan dan memastikan bahwa hak-hak warga negara dihormati selama proses hukum berlangsung.</w:t>
      </w:r>
    </w:p>
    <w:p w14:paraId="24B867CF"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5173423F" w14:textId="77777777" w:rsidR="00314325" w:rsidRDefault="00314325" w:rsidP="00314325">
      <w:pPr>
        <w:pStyle w:val="ListParagraph"/>
        <w:jc w:val="both"/>
      </w:pPr>
      <w:r w:rsidRPr="003B562F">
        <w:t>Peran pengadilan sangat penting dalam memastikan bahwa proses penangkapan, termasuk yang dilakukan dengan metode terselubung, berjalan sesuai dengan ketentuan hukum dan tidak melanggar prinsip hak asasi manusia. Pengadilan harus melakukan pengawasan terhadap proses hukum yang terjadi di bawah, termasuk memastikan adanya izin tertulis dari lembaga yang berwenang, seperti pengadilan atau atasan langsung petugas, jika diperlukan.</w:t>
      </w:r>
      <w:r>
        <w:t xml:space="preserve"> </w:t>
      </w:r>
      <w:r w:rsidRPr="003B562F">
        <w:t>Selain itu, pengadilan perlu memeriksa secara cermat alasan dan prosedur yang digunakan saat proses penangkapan terselubung, serta memastikan bahwa hak terdakwa tetap dilindungi, seperti hak untuk diberitahu alasan penangkapan dan hak untuk didampingi pengacara.</w:t>
      </w:r>
      <w:r>
        <w:t xml:space="preserve"> </w:t>
      </w:r>
      <w:r w:rsidRPr="003B562F">
        <w:t>Pengadilan juga harus berperan dalam menilai apakah metode terselubung yang digunakan benar-benar diperlukan dan dilakukan sesuai prosedur, serta tidak digunakan secara berlebihan atau untuk tujuan yang tidak sesuai dengan hukum. Jika ditemukan adanya penyimpangan atau pelanggaran terhadap ketentuan hukum maupun prinsip HAM, pengadilan harus memberikan sanksi dan memastikan pelanggaran tersebut tidak terulang.</w:t>
      </w:r>
      <w:r>
        <w:t xml:space="preserve"> </w:t>
      </w:r>
      <w:r w:rsidRPr="003B562F">
        <w:t>Secara umum, pengadilan harus menjadi lembaga pengawas terakhir yang memastikan bahwa proses penangkapan dilakukan secara adil, manusiawi, dan sesuai dengan aturan hukum yang berlaku.</w:t>
      </w:r>
      <w:r>
        <w:rPr>
          <w:rStyle w:val="FootnoteReference"/>
        </w:rPr>
        <w:footnoteReference w:id="12"/>
      </w:r>
    </w:p>
    <w:p w14:paraId="4DC140C1" w14:textId="77777777" w:rsidR="00314325" w:rsidRDefault="00314325" w:rsidP="00314325">
      <w:pPr>
        <w:pStyle w:val="ListParagraph"/>
        <w:jc w:val="both"/>
      </w:pPr>
    </w:p>
    <w:p w14:paraId="09DE0C1A" w14:textId="77777777" w:rsidR="00314325" w:rsidRDefault="00314325" w:rsidP="00314325">
      <w:pPr>
        <w:widowControl w:val="0"/>
        <w:spacing w:line="480" w:lineRule="auto"/>
        <w:ind w:firstLine="720"/>
        <w:jc w:val="both"/>
      </w:pPr>
      <w:r>
        <w:lastRenderedPageBreak/>
        <w:t>Menurut analisis peneliti, jawaban hakim menegaskan bahwa pengadilan memiliki tanggung jawab untuk melakukan pengawasan terhadap proses hukum yang berlangsung di bawahnya. Hal ini menunjukkan pemahaman bahwa pengawasan ini merupakan bagian integral dari sistem peradilan yang bertujuan menjamin keabsahan dan keadilan dalam setiap tahapan proses hukum.</w:t>
      </w:r>
    </w:p>
    <w:p w14:paraId="2682E8B6" w14:textId="77777777" w:rsidR="00314325" w:rsidRDefault="00314325" w:rsidP="00314325">
      <w:pPr>
        <w:widowControl w:val="0"/>
        <w:spacing w:line="480" w:lineRule="auto"/>
        <w:ind w:firstLine="720"/>
        <w:jc w:val="both"/>
      </w:pPr>
      <w:r>
        <w:t>Pernyataan bahwa pengadilan harus memastikan adanya izin tertulis dari lembaga berwenang, seperti pengadilan itu sendiri atau atasan langsung petugas, jika diperlukan, menunjukkan pentingnya prosedur administrasi dan legalitas dalam pelaksanaan tindakan hukum. Prinsip ini menegaskan bahwa setiap tindakan, terutama yang bersifat administratif atau operasional, harus dilakukan secara sah dan sesuai ketentuan yang berlaku, guna mencegah penyalahgunaan kekuasaan dan memastikan transparansi.</w:t>
      </w:r>
    </w:p>
    <w:p w14:paraId="0726487D" w14:textId="77777777" w:rsidR="00314325" w:rsidRDefault="00314325" w:rsidP="00314325">
      <w:pPr>
        <w:widowControl w:val="0"/>
        <w:spacing w:line="480" w:lineRule="auto"/>
        <w:ind w:firstLine="720"/>
        <w:jc w:val="both"/>
      </w:pPr>
      <w:r>
        <w:t>Dari sudut pandang analisis, jawaban ini mencerminkan bahwa pengawasan dari pengadilan tidak hanya terbatas pada aspek materiil dari proses peradilan, tetapi juga meliputi aspek administratif dan prosedural. Hal ini penting untuk menjaga integritas proses hukum, memastikan bahwa semua tindakan yang diambil sesuai dengan ketentuan hukum, dan menghindari potensi pelanggaran hak asasi manusia maupun penyalahgunaan kekuasaan.</w:t>
      </w:r>
    </w:p>
    <w:p w14:paraId="62B7A9FE" w14:textId="77777777" w:rsidR="00314325" w:rsidRDefault="00314325" w:rsidP="00314325">
      <w:pPr>
        <w:widowControl w:val="0"/>
        <w:spacing w:line="480" w:lineRule="auto"/>
        <w:ind w:firstLine="720"/>
        <w:jc w:val="both"/>
      </w:pPr>
      <w:r>
        <w:t xml:space="preserve">Selain itu, penekanan pada perlunya izin tertulis menunjukkan bahwa sistem hukum menuntut adanya dokumentasi dan legalitas formal dalam setiap tindakan, yang dapat digunakan sebagai bukti pertanggungjawaban dan pengawasan yang jelas. Secara keseluruhan, jawaban hakim ini menegaskan bahwa pengawasan internal dan prosedural merupakan bagian penting dari mekanisme kontrol dalam sistem </w:t>
      </w:r>
      <w:r>
        <w:lastRenderedPageBreak/>
        <w:t>peradilan. Hal ini bertujuan untuk memastikan proses hukum berjalan secara sah, adil, dan sesuai dengan ketentuan hukum yang berlaku, sehingga meningkatkan kepercayaan masyarakat terhadap integritas sistem peradilan.</w:t>
      </w:r>
    </w:p>
    <w:p w14:paraId="3B015329"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3CE01639" w14:textId="77777777" w:rsidR="00314325" w:rsidRDefault="00314325" w:rsidP="00314325">
      <w:pPr>
        <w:pStyle w:val="ListParagraph"/>
        <w:jc w:val="both"/>
      </w:pPr>
      <w:r w:rsidRPr="003B562F">
        <w:t xml:space="preserve">Ya, dalam putusan ini kami menegaskan bahwa penggunaan metode undercover buy harus dilakukan dengan memperhatikan batasan-batasan hukum dan prinsip hak asasi manusia. Penggunaan metode ini tidak boleh melanggar hak terdakwa, seperti hak untuk mendapatkan perlakuan yang manusiawi, hak atas keadilan, dan hak untuk mendapatkan informasi yang cukup. </w:t>
      </w:r>
      <w:r>
        <w:t>Dalam pertimbangan putusan, kami menegaskan bahwa penggunaan undercover buy harus dilakukan sesuai prosedur yang diatur dalam peraturan perundang-undangan, termasuk adanya izin dari otoritas yang berwenang dan dilakukan dengan cara yang tidak menyiksa, menekan, atau merugikan hak terdakwa secara tidak sah. Selain itu, metode ini harus digunakan secara proporsional dan hanya dalam rangka pembuktian yang sah dan diperlukan.</w:t>
      </w:r>
    </w:p>
    <w:p w14:paraId="7BC169BC" w14:textId="77777777" w:rsidR="00314325" w:rsidRDefault="00314325" w:rsidP="00314325">
      <w:pPr>
        <w:pStyle w:val="ListParagraph"/>
        <w:jc w:val="both"/>
      </w:pPr>
      <w:r>
        <w:t>Kami juga menegaskan bahwa setiap penyimpangan dari batasan tersebut akan berimplikasi terhadap keabsahan proses dan hasilnya, serta dapat berdampak pada penegakan keadilan dan perlindungan hak asasi manusia.</w:t>
      </w:r>
      <w:r>
        <w:rPr>
          <w:rStyle w:val="FootnoteReference"/>
        </w:rPr>
        <w:footnoteReference w:id="13"/>
      </w:r>
    </w:p>
    <w:p w14:paraId="46025A1E" w14:textId="77777777" w:rsidR="00314325" w:rsidRDefault="00314325" w:rsidP="00314325">
      <w:pPr>
        <w:pStyle w:val="ListParagraph"/>
        <w:jc w:val="both"/>
      </w:pPr>
    </w:p>
    <w:p w14:paraId="6347FE73" w14:textId="77777777" w:rsidR="00314325" w:rsidRDefault="00314325" w:rsidP="00314325">
      <w:pPr>
        <w:widowControl w:val="0"/>
        <w:spacing w:line="480" w:lineRule="auto"/>
        <w:ind w:firstLine="720"/>
        <w:jc w:val="both"/>
      </w:pPr>
      <w:r>
        <w:t>Menurut analisis peneliti, jawaban hakim menegaskan bahwa penggunaan metode undercover buy harus dilakukan dengan mematuhi batasan-batasan hukum dan prinsip hak asasi manusia (HAM). Hal ini menunjukkan kesadaran akan pentingnya menjaga keseimbangan antara efektivitas penegakan hukum dan perlindungan hak asasi terdakwa serta pihak lain yang terlibat.</w:t>
      </w:r>
    </w:p>
    <w:p w14:paraId="5BF95B8A" w14:textId="77777777" w:rsidR="00314325" w:rsidRDefault="00314325" w:rsidP="00314325">
      <w:pPr>
        <w:widowControl w:val="0"/>
        <w:spacing w:line="480" w:lineRule="auto"/>
        <w:ind w:firstLine="720"/>
        <w:jc w:val="both"/>
      </w:pPr>
      <w:r>
        <w:t xml:space="preserve">Dari sudut pandang analisis, pernyataan ini menegaskan bahwa meskipun metode undercover buy merupakan alat yang efektif dalam mengungkap tindak pidana, penggunaannya tidak boleh melanggar hak-hak dasar yang dijamin oleh hukum dan HAM. Hak untuk mendapatkan perlakuan manusiawi, hak atas keadilan, </w:t>
      </w:r>
      <w:r>
        <w:lastRenderedPageBreak/>
        <w:t>dan hak untuk memperoleh informasi yang cukup merupakan hak fundamental yang harus dihormati selama proses penyidikan dan penegakan hukum.</w:t>
      </w:r>
    </w:p>
    <w:p w14:paraId="0839AE34" w14:textId="77777777" w:rsidR="00314325" w:rsidRDefault="00314325" w:rsidP="00314325">
      <w:pPr>
        <w:widowControl w:val="0"/>
        <w:spacing w:line="480" w:lineRule="auto"/>
        <w:ind w:firstLine="720"/>
        <w:jc w:val="both"/>
      </w:pPr>
      <w:r>
        <w:t>Selain itu, jawaban ini mencerminkan bahwa penggunaan metode undercover harus dilakukan secara hati-hati dan terukur, dengan memperhatikan aspek legal formal dan prinsip keadilan substantif. Penyalahgunaan metode ini dapat berpotensi menimbulkan pelanggaran hak asasi, seperti penyiksaan, intimidasi, atau penyebaran informasi yang tidak benar, yang dapat merusak legitimasi proses hukum dan mencederai hak asasi terdakwa.</w:t>
      </w:r>
    </w:p>
    <w:p w14:paraId="27DCB80A" w14:textId="77777777" w:rsidR="00314325" w:rsidRDefault="00314325" w:rsidP="00314325">
      <w:pPr>
        <w:widowControl w:val="0"/>
        <w:spacing w:line="480" w:lineRule="auto"/>
        <w:ind w:firstLine="720"/>
        <w:jc w:val="both"/>
      </w:pPr>
      <w:r>
        <w:t>Secara keseluruhan, jawaban ini menekankan bahwa efektivitas penegakan hukum tidak boleh mengorbankan hak asasi manusia. Penggunaan metode undercover harus dilakukan dalam kerangka hukum yang jelas, memiliki batasan yang ketat, serta memperhatikan prinsip-prinsip keadilan dan kemanusiaan. Pendekatan ini penting untuk menjaga integritas sistem peradilan dan kepercayaan masyarakat terhadap proses hukum.</w:t>
      </w:r>
    </w:p>
    <w:p w14:paraId="598D257B"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16E3D553" w14:textId="77777777" w:rsidR="00314325" w:rsidRDefault="00314325" w:rsidP="00314325">
      <w:pPr>
        <w:pStyle w:val="ListParagraph"/>
        <w:jc w:val="both"/>
      </w:pPr>
      <w:r>
        <w:t xml:space="preserve">Penerapan prinsip perlindungan HAM dalam proses penegakan hukum, termasuk dalam kasus narkotika, memiliki dampak yang cukup signifikan. Di satu sisi, hal ini memastikan bahwa hak-hak terdakwa dan tersangka dilindungi secara penuh, seperti hak atas pengadilan yang adil, hak untuk mendapatkan perlakuan manusiawi, dan hak atas pembelaan. Namun, di sisi lain, penerapan prinsip ini juga dapat mempengaruhi efisiensi dan efektivitas proses penegakan hukum itu sendiri. Misalnya, prosedur yang ketat dan perlindungan HAM dapat memperlambat proses pengungkapan tindak pidana dan pengadilan, terutama jika memerlukan bukti yang harus diperoleh secara sah dan adil. </w:t>
      </w:r>
      <w:r w:rsidRPr="003B562F">
        <w:t xml:space="preserve">Meski demikian, saya percaya bahwa perlindungan HAM harus tetap menjadi prioritas utama karena menyangkut keadilan dan hak asasi manusia. Penguatan standar perlindungan HAM justru mendorong proses penegakan hukum yang lebih transparan, akuntabel, dan berkeadilan, yang </w:t>
      </w:r>
      <w:r w:rsidRPr="003B562F">
        <w:lastRenderedPageBreak/>
        <w:t>akhirnya akan membantu meningkatkan kepercayaan publik terhadap sistem hukum. Jadi, efektivitas tidak hanya diukur dari kecepatan, tetapi juga dari keadilan dan keberlanjutan prosesnya.</w:t>
      </w:r>
      <w:r>
        <w:rPr>
          <w:rStyle w:val="FootnoteReference"/>
        </w:rPr>
        <w:footnoteReference w:id="14"/>
      </w:r>
    </w:p>
    <w:p w14:paraId="3D7B8B5F" w14:textId="77777777" w:rsidR="00314325" w:rsidRDefault="00314325" w:rsidP="00314325">
      <w:pPr>
        <w:jc w:val="both"/>
      </w:pPr>
    </w:p>
    <w:p w14:paraId="479E9A85" w14:textId="77777777" w:rsidR="00314325" w:rsidRDefault="00314325" w:rsidP="00314325">
      <w:pPr>
        <w:widowControl w:val="0"/>
        <w:spacing w:line="480" w:lineRule="auto"/>
        <w:ind w:firstLine="720"/>
        <w:jc w:val="both"/>
      </w:pPr>
      <w:r>
        <w:t>Berdasarkan analisis peneliti, jawaban hakim menyoroti penerapan prinsip perlindungan Hak Asasi Manusia (HAM) dalam proses penegakan hukum, terutama dalam kasus narkotika, yang memiliki implikasi penting terhadap sistem peradilan. Secara umum, jawaban ini mencerminkan pemahaman bahwa perlindungan HAM adalah fondasi utama dalam setiap proses hukum, guna menjamin keadilan dan hak asasi terdakwa maupun tersangka.</w:t>
      </w:r>
    </w:p>
    <w:p w14:paraId="2A9AC672" w14:textId="77777777" w:rsidR="00314325" w:rsidRDefault="00314325" w:rsidP="00314325">
      <w:pPr>
        <w:widowControl w:val="0"/>
        <w:spacing w:line="480" w:lineRule="auto"/>
        <w:ind w:firstLine="720"/>
        <w:jc w:val="both"/>
      </w:pPr>
      <w:r>
        <w:t>Dari segi positif, penekanan pada perlindungan hak seperti hak atas pengadilan yang adil, perlakuan manusiawi, dan hak pembelaan menunjukkan bahwa sistem peradilan berkomitmen untuk menjalankan proses hukum secara manusiawi dan sesuai dengan prinsip keadilan substantif. Hal ini sangat penting dalam menghindari penyalahgunaan kekuasaan, penyiksaan, atau perlakuan tidak manusiawi, serta memastikan bahwa proses hukum tidak semata-mata bertujuan untuk menghukum, melainkan juga menghormati hak-hak asasi manusia.</w:t>
      </w:r>
    </w:p>
    <w:p w14:paraId="0EBBCCFF" w14:textId="77777777" w:rsidR="00314325" w:rsidRDefault="00314325" w:rsidP="00314325">
      <w:pPr>
        <w:widowControl w:val="0"/>
        <w:spacing w:line="480" w:lineRule="auto"/>
        <w:ind w:firstLine="720"/>
        <w:jc w:val="both"/>
      </w:pPr>
      <w:r>
        <w:t xml:space="preserve">Namun demikian, jawaban ini juga mengakui adanya tantangan dalam penerapan prinsip perlindungan HAM, terutama terkait dampaknya terhadap efisiensi dan efektivitas proses penegakan hukum. Penerapan perlindungan HAM secara ketat dapat memperlambat proses penyidikan, penuntutan, dan persidangan, serta menimbulkan hambatan administratif dan prosedural yang berpotensi mengurangi kecepatan dan ketertiban dalam penegakan hukum, terutama dalam kasus narkotika </w:t>
      </w:r>
      <w:r>
        <w:lastRenderedPageBreak/>
        <w:t>yang seringkali memerlukan tindakan cepat.</w:t>
      </w:r>
    </w:p>
    <w:p w14:paraId="55B41459" w14:textId="77777777" w:rsidR="00314325" w:rsidRDefault="00314325" w:rsidP="00314325">
      <w:pPr>
        <w:widowControl w:val="0"/>
        <w:spacing w:line="480" w:lineRule="auto"/>
        <w:ind w:firstLine="720"/>
        <w:jc w:val="both"/>
      </w:pPr>
      <w:r>
        <w:t>Secara keseluruhan, jawaban ini mencerminkan keseimbangan antara kebutuhan untuk melindungi hak asasi manusia dan kebutuhan akan efektivitas dalam penegakan hukum. Meskipun perlindungan HAM sangat penting, sistem peradilan harus mampu menyesuaikan mekanisme agar tetap efisien tanpa mengabaikan prinsip keadilan dan kemanusiaan. Pendekatan ini merupakan tantangan utama bagi aparat penegak hukum dan sistem peradilan di Indonesia.</w:t>
      </w:r>
    </w:p>
    <w:p w14:paraId="787D7FA2"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019659E0" w14:textId="77777777" w:rsidR="00314325" w:rsidRDefault="00314325" w:rsidP="00314325">
      <w:pPr>
        <w:pStyle w:val="ListParagraph"/>
        <w:jc w:val="both"/>
      </w:pPr>
      <w:r>
        <w:t xml:space="preserve">Peran pengawasan dari lembaga terkait, seperti Komisi Yudisial, Komisi Nasional HAM, dan aparat pengawas internal, sangat penting dalam memastikan bahwa proses penangkapan terselubung dilakukan sesuai dengan ketentuan hukum dan prinsip hak asasi manusia. Pengawasan ini berfungsi sebagai mekanisme kontrol agar tidak terjadi penyalahgunaan kewenangan, penyiksaan, atau pelanggaran hak terdakwa. Saya menilai bahwa keberadaan lembaga pengawas tersebut memberikan rasa aman dan jaminan bahwa proses penangkapan tidak dilakukan secara sewenang-wenang. Mereka harus aktif melakukan pengawasan, melakukan audit terhadap prosedur penangkapan, serta memberikan rekomendasi perbaikan apabila ditemukan penyimpangan. </w:t>
      </w:r>
      <w:r w:rsidRPr="003B562F">
        <w:t>Namun, dalam praktiknya, efektivitas pengawasan ini juga sangat bergantung pada independensi, kompetensi, dan keberanian lembaga tersebut untuk bertindak tegas terhadap pelanggaran. Saya berharap pengawasan ini terus diperkuat dan dilakukan secara objektif agar proses penegakan hukum tetap berlandaskan hukum dan HAM, serta meningkatkan kepercayaan masyarakat terhadap sistem peradilan pidana.</w:t>
      </w:r>
      <w:r>
        <w:rPr>
          <w:rStyle w:val="FootnoteReference"/>
        </w:rPr>
        <w:footnoteReference w:id="15"/>
      </w:r>
    </w:p>
    <w:p w14:paraId="000288C5" w14:textId="77777777" w:rsidR="00314325" w:rsidRDefault="00314325" w:rsidP="00314325">
      <w:pPr>
        <w:pStyle w:val="ListParagraph"/>
        <w:jc w:val="both"/>
      </w:pPr>
    </w:p>
    <w:p w14:paraId="7C45AF5A" w14:textId="77777777" w:rsidR="00314325" w:rsidRDefault="00314325" w:rsidP="00314325">
      <w:pPr>
        <w:widowControl w:val="0"/>
        <w:spacing w:line="480" w:lineRule="auto"/>
        <w:ind w:firstLine="720"/>
        <w:jc w:val="both"/>
      </w:pPr>
      <w:r>
        <w:t xml:space="preserve">Menurut analisis peneliti, jawaban hakim menegaskan pentingnya peran pengawasan dari lembaga terkait, seperti Komisi Yudisial, Komisi Nasional HAM, dan aparat pengawas internal, dalam menjaga agar proses penangkapan terselubung dilakukan sesuai dengan ketentuan hukum dan prinsip hak asasi manusia (HAM). </w:t>
      </w:r>
      <w:r>
        <w:lastRenderedPageBreak/>
        <w:t>Pernyataan ini menunjukkan kesadaran akan perlunya mekanisme pengawasan yang independen dan berfungsi sebagai kontrol terhadap pelaksanaan tugas aparat penegak hukum.</w:t>
      </w:r>
    </w:p>
    <w:p w14:paraId="18650778" w14:textId="77777777" w:rsidR="00314325" w:rsidRDefault="00314325" w:rsidP="00314325">
      <w:pPr>
        <w:widowControl w:val="0"/>
        <w:spacing w:line="480" w:lineRule="auto"/>
        <w:ind w:firstLine="720"/>
        <w:jc w:val="both"/>
      </w:pPr>
      <w:r>
        <w:t>Dari sudut pandang positif, penekanan pada pengawasan ini memperkuat prinsip checks and balances dalam sistem peradilan dan penegakan hukum. Kehadiran lembaga pengawas dapat mencegah penyalahgunaan kekuasaan, praktik diskriminatif, atau tindakan yang melanggar hak asasi terdakwa dan tersangka. Pengawasan yang efektif juga dapat meningkatkan akuntabilitas aparat penegak hukum dan memastikan bahwa proses penangkapan terselubung dilakukan secara manusiawi, adil, dan sesuai prosedur.</w:t>
      </w:r>
    </w:p>
    <w:p w14:paraId="76DC4634" w14:textId="77777777" w:rsidR="00314325" w:rsidRDefault="00314325" w:rsidP="00314325">
      <w:pPr>
        <w:widowControl w:val="0"/>
        <w:spacing w:line="480" w:lineRule="auto"/>
        <w:ind w:firstLine="720"/>
        <w:jc w:val="both"/>
      </w:pPr>
      <w:r>
        <w:t>Namun, dari sisi tantangan, efektivitas pengawasan ini sangat bergantung pada independensi dan kapasitas lembaga terkait. Jika lembaga pengawas tidak independen, kurang transparan, atau tidak memiliki kewenangan yang cukup, proses pengawasan bisa menjadi tidak efektif dan tidak mampu mencegah pelanggaran hak asasi manusia. Selain itu, koordinasi antar lembaga juga harus dilakukan secara baik agar pengawasan berjalan optimal dan tidak tumpang tindih.</w:t>
      </w:r>
    </w:p>
    <w:p w14:paraId="7B7E4142" w14:textId="77777777" w:rsidR="00314325" w:rsidRDefault="00314325" w:rsidP="00314325">
      <w:pPr>
        <w:widowControl w:val="0"/>
        <w:spacing w:line="480" w:lineRule="auto"/>
        <w:ind w:firstLine="720"/>
        <w:jc w:val="both"/>
      </w:pPr>
      <w:r>
        <w:t>Secara keseluruhan, jawaban ini menegaskan bahwa pengawasan dari lembaga terkait merupakan aspek krusial dalam memastikan bahwa proses penangkapan terselubung tidak menyimpang dari ketentuan hukum dan prinsip HAM. Penguatan mekanisme pengawasan, baik dari segi regulasi maupun kapasitas lembaga, merupakan hal penting untuk menjaga integritas dan keadilan dalam sistem penegakan hukum.</w:t>
      </w:r>
    </w:p>
    <w:p w14:paraId="359A714C" w14:textId="77777777" w:rsidR="00314325" w:rsidRDefault="00314325" w:rsidP="00314325">
      <w:pPr>
        <w:widowControl w:val="0"/>
        <w:spacing w:line="480" w:lineRule="auto"/>
        <w:ind w:firstLine="720"/>
        <w:jc w:val="both"/>
      </w:pPr>
      <w:r>
        <w:t xml:space="preserve">Berdasarkan hasil penelitian dan pembahasan di atas dapat disimpulkan </w:t>
      </w:r>
      <w:r>
        <w:lastRenderedPageBreak/>
        <w:t>bahwa</w:t>
      </w:r>
      <w:r w:rsidRPr="00BB04E2">
        <w:t xml:space="preserve"> </w:t>
      </w:r>
      <w:r w:rsidRPr="00FD4665">
        <w:t>penerapan prinsip perlindungan Hak Asasi Manusia dalam proses penegakan hukum terhadap tersangka tindak pidana tanpa hak menjual narkotika golongan I berdasarkan Putusan Nomor 2036/Pid.Sus/2025/PN Mdn</w:t>
      </w:r>
      <w:r>
        <w:t xml:space="preserve"> </w:t>
      </w:r>
      <w:r w:rsidRPr="008B5DD4">
        <w:t>telah dilakukan secara baik, menunjukkan komitmen sistem peradilan dalam menjunjung tinggi hak asasi manusia. Namun, meskipun sudah ada upaya yang cukup memadai, masih terdapat kekurangan yang perlu diperhatikan. Kekurangan tersebut mungkin berkaitan dengan aspek implementasi, pengawasan, atau aspek administratif yang perlu diperkuat agar perlindungan HAM dapat terlaksana secara optimal dan menyeluruh dalam seluruh proses penegakan hukum. Oleh karena itu, perbaikan dan peningkatan sistem harus terus dilakukan untuk memastikan bahwa prinsip perlindungan HAM benar-benar terwujud secara sempurna dalam praktiknya.</w:t>
      </w:r>
    </w:p>
    <w:p w14:paraId="00F92EE1" w14:textId="77777777" w:rsidR="00314325" w:rsidRDefault="00314325" w:rsidP="00314325">
      <w:pPr>
        <w:pStyle w:val="ListParagraph"/>
        <w:numPr>
          <w:ilvl w:val="0"/>
          <w:numId w:val="48"/>
        </w:numPr>
        <w:ind w:hanging="720"/>
        <w:jc w:val="both"/>
        <w:rPr>
          <w:b/>
        </w:rPr>
      </w:pPr>
      <w:r w:rsidRPr="00BB04E2">
        <w:rPr>
          <w:b/>
        </w:rPr>
        <w:t xml:space="preserve">Proses Penegakan Hukum Berdasarkan Aspek-Aspek Perlindungan Hak Asasi Manusia Selama Tahap Penyidikan, Penuntutan, </w:t>
      </w:r>
      <w:r>
        <w:rPr>
          <w:b/>
        </w:rPr>
        <w:t>d</w:t>
      </w:r>
      <w:r w:rsidRPr="00BB04E2">
        <w:rPr>
          <w:b/>
        </w:rPr>
        <w:t xml:space="preserve">an Persidangan </w:t>
      </w:r>
      <w:r>
        <w:rPr>
          <w:b/>
        </w:rPr>
        <w:t>d</w:t>
      </w:r>
      <w:r w:rsidRPr="00BB04E2">
        <w:rPr>
          <w:b/>
        </w:rPr>
        <w:t>alam Putusan Nomor 2036/Pid.Sus/2025/PN Mdn</w:t>
      </w:r>
    </w:p>
    <w:p w14:paraId="72881F0A" w14:textId="77777777" w:rsidR="00314325" w:rsidRPr="00BB04E2" w:rsidRDefault="00314325" w:rsidP="00314325">
      <w:pPr>
        <w:pStyle w:val="ListParagraph"/>
        <w:jc w:val="both"/>
        <w:rPr>
          <w:b/>
        </w:rPr>
      </w:pPr>
    </w:p>
    <w:p w14:paraId="6B1BB067" w14:textId="77777777" w:rsidR="00314325" w:rsidRDefault="00314325" w:rsidP="00314325">
      <w:pPr>
        <w:widowControl w:val="0"/>
        <w:spacing w:line="480" w:lineRule="auto"/>
        <w:ind w:firstLine="720"/>
        <w:jc w:val="both"/>
      </w:pPr>
      <w:r>
        <w:t xml:space="preserve">Pembahasan mengenai </w:t>
      </w:r>
      <w:r w:rsidRPr="00FD4665">
        <w:t xml:space="preserve">proses penegakan hukum </w:t>
      </w:r>
      <w:r>
        <w:t xml:space="preserve">berdasarkan </w:t>
      </w:r>
      <w:r w:rsidRPr="00FD4665">
        <w:t>aspek-aspek perlindungan Hak Asasi Manusia selama tahap penyidikan, penuntutan, dan persidangan</w:t>
      </w:r>
      <w:r>
        <w:t xml:space="preserve"> dalam </w:t>
      </w:r>
      <w:r w:rsidRPr="00FD4665">
        <w:t>Putusan Nomor 2036/Pid.Sus/2025/PN Mdn</w:t>
      </w:r>
      <w:r>
        <w:t xml:space="preserve"> bertujuan untuk </w:t>
      </w:r>
      <w:r w:rsidRPr="00C86057">
        <w:t>menjamin hak asasi tersangka dan terdakwa</w:t>
      </w:r>
      <w:r>
        <w:t xml:space="preserve">, </w:t>
      </w:r>
      <w:r w:rsidRPr="00C86057">
        <w:t>mewujudkan sistem peradilan yang adil dan kredibel</w:t>
      </w:r>
      <w:r>
        <w:t xml:space="preserve">, </w:t>
      </w:r>
      <w:r w:rsidRPr="00C86057">
        <w:t>mencegah penyalahgunaan kekuasaan dan penyiksaan</w:t>
      </w:r>
      <w:r>
        <w:t xml:space="preserve">, </w:t>
      </w:r>
      <w:r w:rsidRPr="00C86057">
        <w:t>meningkatkan kualitas putusan pengadilan</w:t>
      </w:r>
      <w:r>
        <w:t xml:space="preserve">, dan </w:t>
      </w:r>
      <w:r w:rsidRPr="00C86057">
        <w:t>menegakkan prinsip negara hukum</w:t>
      </w:r>
      <w:r>
        <w:t>.</w:t>
      </w:r>
      <w:r>
        <w:rPr>
          <w:rStyle w:val="FootnoteReference"/>
        </w:rPr>
        <w:footnoteReference w:id="16"/>
      </w:r>
    </w:p>
    <w:p w14:paraId="204B48D8" w14:textId="77777777" w:rsidR="00314325" w:rsidRDefault="00314325" w:rsidP="00314325">
      <w:pPr>
        <w:widowControl w:val="0"/>
        <w:spacing w:line="480" w:lineRule="auto"/>
        <w:ind w:firstLine="720"/>
        <w:jc w:val="both"/>
      </w:pPr>
      <w:r>
        <w:t>Analisis ini m</w:t>
      </w:r>
      <w:r w:rsidRPr="00B4512E">
        <w:t xml:space="preserve">emastikan bahwa hak-hak dasar tersangka dan terdakwa dilindungi selama proses hukum berlangsung sangat penting untuk menjaga keadilan </w:t>
      </w:r>
      <w:r w:rsidRPr="00B4512E">
        <w:lastRenderedPageBreak/>
        <w:t>dan martabat manusia. Hak tersebut meliputi hak atas perlakuan manusiawi, hak mendapatkan bantuan hukum, hak untuk didengar, dan hak atas proses yang adil. Tanpa perlindungan ini, proses penegakan hukum berpotensi melanggar hak asasi manusia dan menimbulkan ketidakadilan.</w:t>
      </w:r>
    </w:p>
    <w:p w14:paraId="03364FD4" w14:textId="77777777" w:rsidR="00314325" w:rsidRDefault="00314325" w:rsidP="00314325">
      <w:pPr>
        <w:widowControl w:val="0"/>
        <w:spacing w:line="480" w:lineRule="auto"/>
        <w:ind w:firstLine="720"/>
        <w:jc w:val="both"/>
      </w:pPr>
      <w:r w:rsidRPr="00B4512E">
        <w:t>Proses penegakan hukum yang memperhatikan aspek-aspek HAM akan meningkatkan kepercayaan masyarakat terhadap sistem peradilan. Ketika proses berjalan secara transparan, adil, dan menghormati hak asasi manusia, maka sistem hukum akan dianggap kredibel dan mampu menegakkan keadilan secara objektif.</w:t>
      </w:r>
      <w:r>
        <w:t xml:space="preserve"> </w:t>
      </w:r>
      <w:r w:rsidRPr="00B4512E">
        <w:t>Pentingnya aspek perlindungan HAM di setiap tahap proses hukum adalah untuk mencegah penyalahgunaan kekuasaan oleh aparat penegak hukum, seperti penyiksaan, perlakuan kejam, dan diskriminasi. Hal ini juga mendukung terciptanya lingkungan proses hukum yang bebas dari praktik tidak manusiawi.</w:t>
      </w:r>
      <w:r>
        <w:rPr>
          <w:rStyle w:val="FootnoteReference"/>
        </w:rPr>
        <w:footnoteReference w:id="17"/>
      </w:r>
    </w:p>
    <w:p w14:paraId="55A124D2" w14:textId="77777777" w:rsidR="00314325" w:rsidRDefault="00314325" w:rsidP="00314325">
      <w:pPr>
        <w:widowControl w:val="0"/>
        <w:spacing w:line="480" w:lineRule="auto"/>
        <w:ind w:firstLine="720"/>
        <w:jc w:val="both"/>
      </w:pPr>
      <w:r w:rsidRPr="00B4512E">
        <w:t>Jika proses penegakan hukum mengikuti prinsip HAM, maka putusan yang dihasilkan akan lebih adil dan legitimate, karena didasarkan pada proses yang sah dan menghormati hak-hak semua pihak. Ini akan memperkuat supremasi hukum dan keadilan substantif.</w:t>
      </w:r>
      <w:r>
        <w:t xml:space="preserve"> </w:t>
      </w:r>
      <w:r w:rsidRPr="00B4512E">
        <w:t>Pentingnya aspek ini adalah dalam rangka menegakkan prinsip negara hukum yang menjamin bahwa semua proses hukum dilakukan secara manusiawi dan sesuai dengan norma-norma internasional maupun ketentuan nasional terkait HAM.</w:t>
      </w:r>
      <w:r>
        <w:t xml:space="preserve"> </w:t>
      </w:r>
      <w:r w:rsidRPr="00B4512E">
        <w:t xml:space="preserve">Pentingnya bagian ini terletak pada upaya memastikan bahwa proses penegakan hukum tidak hanya fokus pada hasil, tetapi juga menghormati dan melindungi hak asasi manusia. Ini merupakan fondasi utama untuk mewujudkan </w:t>
      </w:r>
      <w:r w:rsidRPr="00B4512E">
        <w:lastRenderedPageBreak/>
        <w:t>sistem peradilan yang adil, berintegritas, dan bermartabat.</w:t>
      </w:r>
    </w:p>
    <w:p w14:paraId="220E7DF6" w14:textId="77777777" w:rsidR="00314325" w:rsidRDefault="00314325" w:rsidP="00314325">
      <w:pPr>
        <w:widowControl w:val="0"/>
        <w:spacing w:line="480" w:lineRule="auto"/>
        <w:ind w:firstLine="720"/>
        <w:jc w:val="both"/>
      </w:pPr>
      <w:r>
        <w:t xml:space="preserve">Proses penyidikan dalam sistem peradilan pidana di Indonesia memegang peranan penting dalam menentukan apakah seseorang patut ditetapkan sebagai tersangka dan menghadapi persidangan. Di dalam proses ini, implementasi prinsip Hak Asasi Manusia menjadi esensial untuk menjamin keadilan dan melindungi hak-hak individu yang berhadapan dengan hukum. Prinsip-prinsip Hak Asasi Manusia yang diterapkan dalam penyidikan berkaitan dengan hak atas kebebasan, hak atas perlakuan yang adil, serta jaminan terhadap perlindungan dari tindakan yang tidak manusiawi. Proses penyidikan merupakan tahapan awal yang sangat krusial dalam sistem peradilan pidana, karena di sini dilakukan penentuan apakah suatu tindak pidana benar-benar terjadi, dan siapa yang patut dianggap sebagai tersangka. Dalam konteks penegakan hukum di Indonesia, implementasi prinsip Hak Asasi Manusia di tahap penyidikan memiliki peran penting untuk menjamin keadilan dan perlindungan terhadap individu-individu yang berhadapan dengan hukum. Dalam rangka memastikan bahwa penyidikan dilakukan secara profesional dan berkeadilan, aparat penegak hukum harus mematuhi norma-norma Hak Asasi Manusia yang telah diakui secara nasional maupun internasional. Salah satu pilar penting dalam Hak Asasi Manusia adalah prinsip non-diskriminasi. Prinsip ini mengharuskan semua individu yang terlibat dalam proses penyidikan, baik sebagai tersangka, korban, maupun saksi, mendapatkan perlakuan yang sama tanpa memandang latar belakang sosial, ekonomi, agama, suku, atau jenis kelamin. Di Indonesia, Pasal 27 ayat (1) Undang-Undang Dasar 1945 menegaskan bahwa semua warga negara bersamaan kedudukannya di hadapan hukum, dan hak ini diperkuat oleh berbagai peraturan perundang-undangan </w:t>
      </w:r>
      <w:r>
        <w:lastRenderedPageBreak/>
        <w:t>lainnya yang mencegah adanya tindakan diskriminatif dalam proses hukum.</w:t>
      </w:r>
      <w:r>
        <w:rPr>
          <w:rStyle w:val="FootnoteReference"/>
        </w:rPr>
        <w:footnoteReference w:id="18"/>
      </w:r>
    </w:p>
    <w:p w14:paraId="2102FF8A" w14:textId="77777777" w:rsidR="00314325" w:rsidRDefault="00314325" w:rsidP="00314325">
      <w:pPr>
        <w:widowControl w:val="0"/>
        <w:spacing w:line="480" w:lineRule="auto"/>
        <w:ind w:firstLine="720"/>
        <w:jc w:val="both"/>
      </w:pPr>
      <w:r>
        <w:t>Polri adalah institusi yang bertugas melakukan pengamanan dan pengaturan masyarakat agar tercipta situasi dan kondisi keamanan dan ketertiban sesuai dengan hukum yang berlaku di Indonesia. Pasal 1 Undang-Undang Nomor 2 Tahun 2002 Tentang Kepolisian Republik Indonesia yang dimaksud kepolisian adalah segala hal ihwal yang berkaitan dengan fungsi dan lembaga polisi sesuai dengan peraturan perundang-undangan (Rahardi, 2007:53). Pasal 13 Undang-Undang Nomor 2 Tahun 2002 Tentang Kepolisian Republik Indonesia Tugas pokok Kepolisian Negara Republik Indonesia adalah:</w:t>
      </w:r>
    </w:p>
    <w:p w14:paraId="0B121B51" w14:textId="77777777" w:rsidR="00314325" w:rsidRDefault="00314325" w:rsidP="00314325">
      <w:pPr>
        <w:pStyle w:val="ListParagraph"/>
        <w:widowControl w:val="0"/>
        <w:numPr>
          <w:ilvl w:val="0"/>
          <w:numId w:val="40"/>
        </w:numPr>
        <w:spacing w:line="480" w:lineRule="auto"/>
        <w:ind w:left="1080" w:hanging="360"/>
        <w:jc w:val="both"/>
      </w:pPr>
      <w:r>
        <w:t xml:space="preserve">Memelihara keamanan dan ketertiban masyarakat; </w:t>
      </w:r>
    </w:p>
    <w:p w14:paraId="50AE9F28" w14:textId="77777777" w:rsidR="00314325" w:rsidRDefault="00314325" w:rsidP="00314325">
      <w:pPr>
        <w:pStyle w:val="ListParagraph"/>
        <w:widowControl w:val="0"/>
        <w:numPr>
          <w:ilvl w:val="0"/>
          <w:numId w:val="40"/>
        </w:numPr>
        <w:spacing w:line="480" w:lineRule="auto"/>
        <w:ind w:left="1080" w:hanging="360"/>
        <w:jc w:val="both"/>
      </w:pPr>
      <w:r>
        <w:t xml:space="preserve">menegakkan hukum; dan </w:t>
      </w:r>
    </w:p>
    <w:p w14:paraId="561CAC3A" w14:textId="77777777" w:rsidR="00314325" w:rsidRDefault="00314325" w:rsidP="00314325">
      <w:pPr>
        <w:pStyle w:val="ListParagraph"/>
        <w:widowControl w:val="0"/>
        <w:numPr>
          <w:ilvl w:val="0"/>
          <w:numId w:val="40"/>
        </w:numPr>
        <w:spacing w:line="480" w:lineRule="auto"/>
        <w:ind w:left="1080" w:hanging="360"/>
        <w:jc w:val="both"/>
      </w:pPr>
      <w:r>
        <w:t>Memberikan perlindungan, pengayoman, dan pelayanan kepada masyarakat.</w:t>
      </w:r>
    </w:p>
    <w:p w14:paraId="25082016" w14:textId="77777777" w:rsidR="00314325" w:rsidRDefault="00314325" w:rsidP="00314325">
      <w:pPr>
        <w:widowControl w:val="0"/>
        <w:spacing w:line="480" w:lineRule="auto"/>
        <w:ind w:firstLine="720"/>
        <w:jc w:val="both"/>
      </w:pPr>
      <w:r>
        <w:t>Pasal 16 ayat (1) Dalam rangka menyelenggarakan tugas sebagaimana dimaksud dalam Pasal 13 dan 14 di bidang proses pidana, Kepolisian Negara Republik Indonesia berwenang untuk:</w:t>
      </w:r>
    </w:p>
    <w:p w14:paraId="43C3BEDD" w14:textId="77777777" w:rsidR="00314325" w:rsidRDefault="00314325" w:rsidP="00314325">
      <w:pPr>
        <w:pStyle w:val="ListParagraph"/>
        <w:widowControl w:val="0"/>
        <w:numPr>
          <w:ilvl w:val="1"/>
          <w:numId w:val="40"/>
        </w:numPr>
        <w:spacing w:line="480" w:lineRule="auto"/>
        <w:ind w:left="1080" w:hanging="360"/>
        <w:jc w:val="both"/>
      </w:pPr>
      <w:r>
        <w:t>Melakukan penangkapan, penahanan, penggeledahan, dan penyitaan;</w:t>
      </w:r>
    </w:p>
    <w:p w14:paraId="477DFA14" w14:textId="77777777" w:rsidR="00314325" w:rsidRDefault="00314325" w:rsidP="00314325">
      <w:pPr>
        <w:pStyle w:val="ListParagraph"/>
        <w:widowControl w:val="0"/>
        <w:numPr>
          <w:ilvl w:val="1"/>
          <w:numId w:val="40"/>
        </w:numPr>
        <w:spacing w:line="480" w:lineRule="auto"/>
        <w:ind w:left="1080" w:hanging="360"/>
        <w:jc w:val="both"/>
      </w:pPr>
      <w:r>
        <w:t xml:space="preserve">Melarang setiap orang meninggalkan atau memasuki tempat kejadian perkara untuk kepentingan penyidikan; </w:t>
      </w:r>
    </w:p>
    <w:p w14:paraId="46EFAA48" w14:textId="77777777" w:rsidR="00314325" w:rsidRDefault="00314325" w:rsidP="00314325">
      <w:pPr>
        <w:pStyle w:val="ListParagraph"/>
        <w:widowControl w:val="0"/>
        <w:numPr>
          <w:ilvl w:val="1"/>
          <w:numId w:val="40"/>
        </w:numPr>
        <w:spacing w:line="480" w:lineRule="auto"/>
        <w:ind w:left="1080" w:hanging="360"/>
        <w:jc w:val="both"/>
      </w:pPr>
      <w:r>
        <w:t xml:space="preserve">Membawa dan menghadapkan orang kepada penyidik dalam rangka penyidikan; </w:t>
      </w:r>
    </w:p>
    <w:p w14:paraId="73645DE6" w14:textId="77777777" w:rsidR="00314325" w:rsidRDefault="00314325" w:rsidP="00314325">
      <w:pPr>
        <w:pStyle w:val="ListParagraph"/>
        <w:widowControl w:val="0"/>
        <w:numPr>
          <w:ilvl w:val="1"/>
          <w:numId w:val="40"/>
        </w:numPr>
        <w:spacing w:line="480" w:lineRule="auto"/>
        <w:ind w:left="1080" w:hanging="360"/>
        <w:jc w:val="both"/>
      </w:pPr>
      <w:r>
        <w:t xml:space="preserve">Menyuruh berhenti orang yang dicurigai dan menanyakan serta </w:t>
      </w:r>
      <w:r>
        <w:lastRenderedPageBreak/>
        <w:t xml:space="preserve">memeriksa tanda pengenal diri; </w:t>
      </w:r>
    </w:p>
    <w:p w14:paraId="6C734746" w14:textId="77777777" w:rsidR="00314325" w:rsidRDefault="00314325" w:rsidP="00314325">
      <w:pPr>
        <w:pStyle w:val="ListParagraph"/>
        <w:widowControl w:val="0"/>
        <w:numPr>
          <w:ilvl w:val="1"/>
          <w:numId w:val="40"/>
        </w:numPr>
        <w:spacing w:line="480" w:lineRule="auto"/>
        <w:ind w:left="1080" w:hanging="360"/>
        <w:jc w:val="both"/>
      </w:pPr>
      <w:r>
        <w:t>Melakukan pemeriksaan dan penyitaan surat;</w:t>
      </w:r>
    </w:p>
    <w:p w14:paraId="1D82390D" w14:textId="77777777" w:rsidR="00314325" w:rsidRDefault="00314325" w:rsidP="00314325">
      <w:pPr>
        <w:pStyle w:val="ListParagraph"/>
        <w:widowControl w:val="0"/>
        <w:numPr>
          <w:ilvl w:val="1"/>
          <w:numId w:val="40"/>
        </w:numPr>
        <w:spacing w:line="480" w:lineRule="auto"/>
        <w:ind w:left="1080" w:hanging="360"/>
        <w:jc w:val="both"/>
      </w:pPr>
      <w:r>
        <w:t>memanggil orang untuk didengar dan diperiksa sebagai tersangka atau saksi;</w:t>
      </w:r>
    </w:p>
    <w:p w14:paraId="27D35B80" w14:textId="77777777" w:rsidR="00314325" w:rsidRDefault="00314325" w:rsidP="00314325">
      <w:pPr>
        <w:pStyle w:val="ListParagraph"/>
        <w:widowControl w:val="0"/>
        <w:numPr>
          <w:ilvl w:val="1"/>
          <w:numId w:val="40"/>
        </w:numPr>
        <w:spacing w:line="480" w:lineRule="auto"/>
        <w:ind w:left="1080" w:hanging="360"/>
        <w:jc w:val="both"/>
      </w:pPr>
      <w:r>
        <w:t>Mendatangkan orang ahli yang diperlukan dalam hubungannya dengan pemeriksaan perkara;</w:t>
      </w:r>
    </w:p>
    <w:p w14:paraId="726A04AE" w14:textId="77777777" w:rsidR="00314325" w:rsidRDefault="00314325" w:rsidP="00314325">
      <w:pPr>
        <w:pStyle w:val="ListParagraph"/>
        <w:widowControl w:val="0"/>
        <w:numPr>
          <w:ilvl w:val="1"/>
          <w:numId w:val="40"/>
        </w:numPr>
        <w:spacing w:line="480" w:lineRule="auto"/>
        <w:ind w:left="1080" w:hanging="360"/>
        <w:jc w:val="both"/>
      </w:pPr>
      <w:r>
        <w:t xml:space="preserve">Mengadakan penghentian penyidikan; </w:t>
      </w:r>
    </w:p>
    <w:p w14:paraId="6842767A" w14:textId="77777777" w:rsidR="00314325" w:rsidRDefault="00314325" w:rsidP="00314325">
      <w:pPr>
        <w:pStyle w:val="ListParagraph"/>
        <w:widowControl w:val="0"/>
        <w:numPr>
          <w:ilvl w:val="1"/>
          <w:numId w:val="40"/>
        </w:numPr>
        <w:spacing w:line="480" w:lineRule="auto"/>
        <w:ind w:left="1080" w:hanging="360"/>
        <w:jc w:val="both"/>
      </w:pPr>
      <w:r>
        <w:t xml:space="preserve">Menyerahkan berkas perkara kepada penuntut umum; </w:t>
      </w:r>
    </w:p>
    <w:p w14:paraId="58C81C7B" w14:textId="77777777" w:rsidR="00314325" w:rsidRDefault="00314325" w:rsidP="00314325">
      <w:pPr>
        <w:pStyle w:val="ListParagraph"/>
        <w:widowControl w:val="0"/>
        <w:numPr>
          <w:ilvl w:val="1"/>
          <w:numId w:val="40"/>
        </w:numPr>
        <w:spacing w:line="480" w:lineRule="auto"/>
        <w:ind w:left="1080" w:hanging="360"/>
        <w:jc w:val="both"/>
      </w:pPr>
      <w:r>
        <w:t xml:space="preserve">Mengajukan permintaan secara langsung kepada pejabat imigrasi yang berwenang di tempat pemeriksaan imigrasi dalam keadaan mendesak atau mendadak untuk mencegah atau menangkal orang yang disangka melakukan tindak pidana; </w:t>
      </w:r>
    </w:p>
    <w:p w14:paraId="0FF985AF" w14:textId="77777777" w:rsidR="00314325" w:rsidRDefault="00314325" w:rsidP="00314325">
      <w:pPr>
        <w:pStyle w:val="ListParagraph"/>
        <w:widowControl w:val="0"/>
        <w:numPr>
          <w:ilvl w:val="1"/>
          <w:numId w:val="40"/>
        </w:numPr>
        <w:spacing w:line="480" w:lineRule="auto"/>
        <w:ind w:left="1080" w:hanging="360"/>
        <w:jc w:val="both"/>
      </w:pPr>
      <w:r>
        <w:t xml:space="preserve">Memberi petunjuk dan bantuan penyidikan kepada penyidik pegawai negeri sipil serta menerima hasil penyidikan penyidik pegawai negeri sipil untuk diserahkan kepada penuntut umum; dan </w:t>
      </w:r>
    </w:p>
    <w:p w14:paraId="728A4CBC" w14:textId="77777777" w:rsidR="00314325" w:rsidRDefault="00314325" w:rsidP="00314325">
      <w:pPr>
        <w:pStyle w:val="ListParagraph"/>
        <w:widowControl w:val="0"/>
        <w:numPr>
          <w:ilvl w:val="1"/>
          <w:numId w:val="40"/>
        </w:numPr>
        <w:spacing w:line="480" w:lineRule="auto"/>
        <w:ind w:left="1080" w:hanging="360"/>
        <w:jc w:val="both"/>
      </w:pPr>
      <w:r>
        <w:t>Mengadakan tindakan lain menurut hukum yang bertanggung jawab.</w:t>
      </w:r>
    </w:p>
    <w:p w14:paraId="3EAEB10C" w14:textId="77777777" w:rsidR="00314325" w:rsidRDefault="00314325" w:rsidP="00314325">
      <w:pPr>
        <w:widowControl w:val="0"/>
        <w:spacing w:line="480" w:lineRule="auto"/>
        <w:ind w:firstLine="720"/>
        <w:jc w:val="both"/>
      </w:pPr>
      <w:r>
        <w:t>Pasal 16 ayat (2) Tindakan lain sebagaimana dimaksud dalam ayat (1) huruf l adalah tindakan penyelidikan dan penyidikan yang dilaksanakan jika memenuhi syarat sebagai berikut:</w:t>
      </w:r>
    </w:p>
    <w:p w14:paraId="4ECAF0CD" w14:textId="77777777" w:rsidR="00314325" w:rsidRDefault="00314325" w:rsidP="00314325">
      <w:pPr>
        <w:pStyle w:val="ListParagraph"/>
        <w:widowControl w:val="0"/>
        <w:numPr>
          <w:ilvl w:val="0"/>
          <w:numId w:val="42"/>
        </w:numPr>
        <w:spacing w:line="480" w:lineRule="auto"/>
        <w:ind w:left="1080" w:hanging="360"/>
        <w:jc w:val="both"/>
      </w:pPr>
      <w:r>
        <w:t xml:space="preserve">Tidak bertentangan dengan suatu aturan hukum; </w:t>
      </w:r>
    </w:p>
    <w:p w14:paraId="5A84C156" w14:textId="77777777" w:rsidR="00314325" w:rsidRDefault="00314325" w:rsidP="00314325">
      <w:pPr>
        <w:pStyle w:val="ListParagraph"/>
        <w:widowControl w:val="0"/>
        <w:numPr>
          <w:ilvl w:val="0"/>
          <w:numId w:val="42"/>
        </w:numPr>
        <w:spacing w:line="480" w:lineRule="auto"/>
        <w:ind w:left="1080" w:hanging="360"/>
        <w:jc w:val="both"/>
      </w:pPr>
      <w:r>
        <w:t xml:space="preserve">Selaras dengan kewajiban hukum yang mengharuskan tindakan tersebut dilakukan; </w:t>
      </w:r>
    </w:p>
    <w:p w14:paraId="31F9EA6B" w14:textId="77777777" w:rsidR="00314325" w:rsidRDefault="00314325" w:rsidP="00314325">
      <w:pPr>
        <w:pStyle w:val="ListParagraph"/>
        <w:widowControl w:val="0"/>
        <w:numPr>
          <w:ilvl w:val="0"/>
          <w:numId w:val="42"/>
        </w:numPr>
        <w:spacing w:line="480" w:lineRule="auto"/>
        <w:ind w:left="1080" w:hanging="360"/>
        <w:jc w:val="both"/>
      </w:pPr>
      <w:r>
        <w:t>Harus patut, masuk akal, dan termasuk dalam lingkungan jabatannya;</w:t>
      </w:r>
    </w:p>
    <w:p w14:paraId="5BA2CD1B" w14:textId="77777777" w:rsidR="00314325" w:rsidRDefault="00314325" w:rsidP="00314325">
      <w:pPr>
        <w:pStyle w:val="ListParagraph"/>
        <w:widowControl w:val="0"/>
        <w:numPr>
          <w:ilvl w:val="0"/>
          <w:numId w:val="42"/>
        </w:numPr>
        <w:spacing w:line="480" w:lineRule="auto"/>
        <w:ind w:left="1080" w:hanging="360"/>
        <w:jc w:val="both"/>
      </w:pPr>
      <w:r>
        <w:lastRenderedPageBreak/>
        <w:t xml:space="preserve">Pertimbangan yang layak berdasarkan keadaan yang memaksa; dan </w:t>
      </w:r>
    </w:p>
    <w:p w14:paraId="0FA37488" w14:textId="77777777" w:rsidR="00314325" w:rsidRDefault="00314325" w:rsidP="00314325">
      <w:pPr>
        <w:pStyle w:val="ListParagraph"/>
        <w:widowControl w:val="0"/>
        <w:numPr>
          <w:ilvl w:val="0"/>
          <w:numId w:val="42"/>
        </w:numPr>
        <w:spacing w:line="480" w:lineRule="auto"/>
        <w:ind w:left="1080" w:hanging="360"/>
        <w:jc w:val="both"/>
      </w:pPr>
      <w:r>
        <w:t>Menghormati hak asasi manusia.</w:t>
      </w:r>
    </w:p>
    <w:p w14:paraId="0CBA3238" w14:textId="77777777" w:rsidR="00314325" w:rsidRDefault="00314325" w:rsidP="00314325">
      <w:pPr>
        <w:widowControl w:val="0"/>
        <w:spacing w:line="480" w:lineRule="auto"/>
        <w:ind w:firstLine="720"/>
        <w:jc w:val="both"/>
      </w:pPr>
      <w:r>
        <w:t>Dengan demikian, fungsi utama dari Kepolisian Negara Republik Indonesiaadalah menjaga keamanan dan ketertiban di masyarakat, serta membantu pemerintah Indonesia dalam menangani berbagai masalah yang dihadapi oleh negara. Selain itu, Kepolisian Negara Republik Indonesiajuga memiliki peran penting dalam menangkap dan mengusut pelaku kejahatan serta menjalankan tugas-tugas administratif lainnya yang ditugaskan oleh pemerintah Indonesia. Setiap Pejabat Kepolisian Negara Republik Indonesia memiliki wewenang diskresi, menurut penjelasan Undang-Undang Nomor 2 Tahun 2002. Kewenangan diskresi adalah kebebasan mengambil keputusan atau bertindak yang dilakukan oleh pejabat administrasi negara yang berwenang. Diskresi digunakan untuk mengatasi masalah konkret yang dihadapi dalam penyelenggaraan pemerintahan. Selain memiliki wewenang yang diberikan oleh Undang-Undang Nomor 2 Tahun 2002, polisi juga memiliki kewenangan dalam KUHAP, yang dinyatakan sebagai:</w:t>
      </w:r>
    </w:p>
    <w:p w14:paraId="5E253348" w14:textId="77777777" w:rsidR="00314325" w:rsidRDefault="00314325" w:rsidP="00314325">
      <w:pPr>
        <w:pStyle w:val="ListParagraph"/>
        <w:widowControl w:val="0"/>
        <w:numPr>
          <w:ilvl w:val="1"/>
          <w:numId w:val="42"/>
        </w:numPr>
        <w:spacing w:line="480" w:lineRule="auto"/>
        <w:ind w:left="1080" w:hanging="360"/>
        <w:jc w:val="both"/>
      </w:pPr>
      <w:r>
        <w:t xml:space="preserve">Pasal 4. Penyelidik adalah setiap pejabat polisi negara Republik Indonesia. </w:t>
      </w:r>
    </w:p>
    <w:p w14:paraId="542D400D" w14:textId="77777777" w:rsidR="00314325" w:rsidRDefault="00314325" w:rsidP="00314325">
      <w:pPr>
        <w:pStyle w:val="ListParagraph"/>
        <w:widowControl w:val="0"/>
        <w:numPr>
          <w:ilvl w:val="1"/>
          <w:numId w:val="42"/>
        </w:numPr>
        <w:spacing w:line="480" w:lineRule="auto"/>
        <w:ind w:left="1080" w:hanging="360"/>
        <w:jc w:val="both"/>
      </w:pPr>
      <w:r>
        <w:t>Pasal 6. (1) Penyidik adalah: pejabat yang memiliki wewenang untuk melakukan penyidikan dalam suatu kasus pidana. Penyidik biasanya adalah petugas polisi atau penyidik dari lembaga penegak hukum yang lain. (a) pejabat polisi negara Republik Indonesia. (b) pejabat pegawai negeri sipil tertentu yang diberi wewenang khusus oleh undang-undang.</w:t>
      </w:r>
    </w:p>
    <w:p w14:paraId="66FF05F7" w14:textId="77777777" w:rsidR="00314325" w:rsidRDefault="00314325" w:rsidP="00314325">
      <w:pPr>
        <w:pStyle w:val="ListParagraph"/>
        <w:widowControl w:val="0"/>
        <w:numPr>
          <w:ilvl w:val="1"/>
          <w:numId w:val="42"/>
        </w:numPr>
        <w:spacing w:line="480" w:lineRule="auto"/>
        <w:ind w:left="1080" w:hanging="360"/>
        <w:jc w:val="both"/>
      </w:pPr>
      <w:r>
        <w:t xml:space="preserve">Pasal 75. Berita Acara Pemeriksaan dibuat oleh pejabat yang bersangkutan. Berita acara adalah catatan laporan yang berisi keterangan, </w:t>
      </w:r>
      <w:r>
        <w:lastRenderedPageBreak/>
        <w:t>waktu, tempat, dan petunjuk lain mengenai suatu peristiwa atau perkara.</w:t>
      </w:r>
    </w:p>
    <w:p w14:paraId="6094CD5D" w14:textId="77777777" w:rsidR="00314325" w:rsidRDefault="00314325" w:rsidP="00314325">
      <w:pPr>
        <w:pStyle w:val="ListParagraph"/>
        <w:widowControl w:val="0"/>
        <w:numPr>
          <w:ilvl w:val="1"/>
          <w:numId w:val="42"/>
        </w:numPr>
        <w:spacing w:line="480" w:lineRule="auto"/>
        <w:ind w:left="1080" w:hanging="360"/>
        <w:jc w:val="both"/>
      </w:pPr>
      <w:r>
        <w:t>Pasal 109. Polisi mempunyai diskresi untuk menghentikan Penyidikan ayat (2) dan (3). (2) Dalam hal penyidik menghentikan penyidikan karena tidak terdapat cukup bukti atau peristiwa tersebut ternyata bukan merupakan tindak pidana atau penyidikan dihentikan demi hukum, maka penyidik memberitahukan hal itu kepada penuntut umum, tersangka atau keluarganya; (3) Dalam hal penghentian tersebut pada ayat (2) dilakukan oleh penyidik sebagaimana dimaksud dalam Pasal 6 ayat (1) huruf b, pemberitahuan mengenai hal itu segera disampaikan kepada penyidik dan penuntut umum.</w:t>
      </w:r>
    </w:p>
    <w:p w14:paraId="4797538F" w14:textId="77777777" w:rsidR="00314325" w:rsidRDefault="00314325" w:rsidP="00314325">
      <w:pPr>
        <w:pStyle w:val="ListParagraph"/>
        <w:widowControl w:val="0"/>
        <w:numPr>
          <w:ilvl w:val="1"/>
          <w:numId w:val="42"/>
        </w:numPr>
        <w:spacing w:line="480" w:lineRule="auto"/>
        <w:ind w:left="1080" w:hanging="360"/>
        <w:jc w:val="both"/>
      </w:pPr>
      <w:r>
        <w:t>Pasal 121. Polisi juga dapat menentukan tindak pidana apa yang dilakukan tersangka. “Penyidik atas kekuatan sumpah jabatannya segera membuat berita acara yang diberi tanggal dan memuat tindak pidana yang dipersangkakan, dengan menyebut waktu, tempat dan keadaan pada waktu tindak pidana dilakukan, nama dan tempat tinggal dari tersangka dan atau saksi, keterangan mereka, catatan mengenai. akta dan atau benda serta segala sesuatu yang dianggap perlu untuk kepentingan penyelesaian perkara.</w:t>
      </w:r>
    </w:p>
    <w:p w14:paraId="136D6892" w14:textId="77777777" w:rsidR="00314325" w:rsidRDefault="00314325" w:rsidP="00314325">
      <w:pPr>
        <w:widowControl w:val="0"/>
        <w:spacing w:line="480" w:lineRule="auto"/>
        <w:ind w:firstLine="720"/>
        <w:jc w:val="both"/>
      </w:pPr>
      <w:r>
        <w:t>Melaksanakan fungsi kepolisian sebagai penegak hukum adalah tujuan dari kewenangan yang diberikan oleh KUHAP ini. Delik yang menyebabkan kematian,</w:t>
      </w:r>
      <w:r w:rsidRPr="007F62BF">
        <w:t xml:space="preserve"> </w:t>
      </w:r>
      <w:r>
        <w:t xml:space="preserve">kejahatan yang berkaitan dengan seks, pencurian, dan perampokan biasanya melibatkan pemeriksaan di tempat kejadian. Dokter sering dipanggil untuk melakukan pemeriksaan di tempat kejadian dalam kasus kematian dan kejahatan </w:t>
      </w:r>
      <w:r>
        <w:lastRenderedPageBreak/>
        <w:t xml:space="preserve">seksual sebagaimana diatur dalam Pasal 7 KUHAP pada huruf (h) yang menyatakan bahwa penyidik berwenang untuk “mendatangkan orang ahli yang diperlukan dalam hubungannya dengan pemeriksaan perkara”. Kepolisian Negara Republik Indonesia atau yang sering di singkat dengan Polri dalam kaitannya dengan pemerintah adalah salah satu fungsi pemerintahan negara dibidang pemeliharaan keamanan dan ketertiban masyarakat, penegakan hukum, perlindungan, pengayoman, dan pelayanan pada masyarakat. Bertujuan untuk mewujudkan keamanan dalam negeri yang meliputi terpeliharanya keamanan dan ketertiban masyarakat, tertib dan tegaknya hukum, terselenggaranya perlindungan, pengayoman, dan pelayanan masyarakat, serta terciptanya ketentraman masyarakat dengan menjunjung tinggi hak azasi manusia, hal ini terdapat dalam Pasal 4 Undang-undang Nomor 2 Tahun 2002 tentang Kepolisian Republik Indonesia. </w:t>
      </w:r>
    </w:p>
    <w:p w14:paraId="675177C9" w14:textId="77777777" w:rsidR="00314325" w:rsidRDefault="00314325" w:rsidP="00314325">
      <w:pPr>
        <w:widowControl w:val="0"/>
        <w:spacing w:line="480" w:lineRule="auto"/>
        <w:ind w:firstLine="720"/>
        <w:jc w:val="both"/>
      </w:pPr>
      <w:r>
        <w:t>Hak Asasi Manusia, yaitu hak-hak dasar yang melekat pada manusia sejak lahir dan tidak dapat dirampas. Hak Asasi Manusia merupakan anugerah Tuhan yang wajib dihormati, dijunjung tinggi, dan dilindungi oleh negara, hukum, pemerintah, dan setiap orang. Penyidik sering melakukan tindakan yang terkait dengan pelanggaran Hak Asasi Manusia, seperti penangkapan, penahanan, atau penyitaan. Ini karena mereka sama-sama melakukan perampasan hak seseorang. Tidak ada hubungannya dengan pelanggaran Hak Asasi Manusia karena penyidik melakukan hal ini sesuai dengan tugas dan peraturan yang berlaku. Ini adalah tanggung jawab utama polisi, salah satunya adalah penegakkan hukum yang pada gilirannya membatasi hak-hak orang yang telah diidentifikasi sebagai tersangka atau orang yang patut diduga melakukan kejahatan, seperti tembak di tempat. Polisi adalah satu-</w:t>
      </w:r>
      <w:r>
        <w:lastRenderedPageBreak/>
        <w:t>satunya institusi yang memiliki kewenangan untuk melakukan tembakan di lokasi, jadi penyidik melakukannya sesuai dengan tugas dan undang-undang.</w:t>
      </w:r>
    </w:p>
    <w:p w14:paraId="3B6D568D" w14:textId="77777777" w:rsidR="00314325" w:rsidRDefault="00314325" w:rsidP="00314325">
      <w:pPr>
        <w:widowControl w:val="0"/>
        <w:spacing w:line="480" w:lineRule="auto"/>
        <w:ind w:firstLine="720"/>
        <w:jc w:val="both"/>
      </w:pPr>
      <w:r>
        <w:t>Menurut Pasal 1 angka 1 Undang-Undang Nomor 39 Tahun 1999, hakikat dan keberadaan manusia sebagai makhluk Tuhan Yang Maha Esa adalah hak yang harus dihormati, dijunjung tinggi, dan dilindungi oleh negara, hukum, pemerintah, dan setiap orang demi kehormatan dan perlindungan martabat dan harkat manusia. Hak tersangka adalah hak manusia yang dijamin oleh undang-undang hukum acara pidana untuk dipenuhi dan diterapkan karena perbuatannya melawan hukum berdasarkan bukti permulaan. Hukum acara pidana di negara ini, yang didasarkan pada Pancasila dan Undang-Undang Dasar 1945, mencerminkan, menjamin, dan melindungi hak asasi manusia secara eksplisit dalam pertimbangan, isi, materi, dan penjelasan mereka, yang memberikan jaminan dan perlindungan terhadap keluhuran harkat dan martabat manusia (R. Naning, 1983:127). Dengan demikian, hak asasi manusia harus dihormati, dijunjung tinggi, dan dilindungi oleh negara, hukum, dan pemerintah setiap orang karena martabat dan harkat manusia yang sama. Oleh karena itu, hak asasi manusia atau hak tersangka harus dilindungi oleh polisi dan pemerintah.</w:t>
      </w:r>
    </w:p>
    <w:p w14:paraId="6C9E34B7" w14:textId="77777777" w:rsidR="00314325" w:rsidRDefault="00314325" w:rsidP="00314325">
      <w:pPr>
        <w:widowControl w:val="0"/>
        <w:spacing w:line="480" w:lineRule="auto"/>
        <w:ind w:firstLine="720"/>
        <w:jc w:val="both"/>
      </w:pPr>
      <w:r>
        <w:t xml:space="preserve">Prinsip-prinsip Hak Asasi Manusia yang relevan dalam penyidikan meliputi hak atas kebebasan dari penyiksaan, hak atas privasi, hak atas peradilan yang adil, dan hak untuk dianggap tidak bersalah sampai terbukti bersalah. Hak-hak ini juga diatur dalam berbagai instrumen hukum internasional seperti Kovenan Internasional tentang Hak Sipil dan Politik (ICCPR) yang telah diratifikasi oleh Indonesia melalui Undang-Undang Nomor 12 Tahun 2005. Dalam praktiknya, penegak hukum wajib memastikan bahwa tersangka tidak disiksa selama penyidikan dan diberikan hak </w:t>
      </w:r>
      <w:r>
        <w:lastRenderedPageBreak/>
        <w:t>untuk membela diri. Di Indonesia, prinsip-prinsip Hak Asasi Manusia dalam penyidikan diatur dalam berbagai peraturan perundangundangan, termasuk di dalam Kitab Undang-Undang Hukum Acara Pidana (KUHAP). KUHAP memberikan kerangka hukum untuk melindungi hak-hak tersangka, seperti hak untuk didampingi oleh penasihat hukum dan hak untuk mengetahui tuduhan yang diajukan terhadapnya. Selain itu, Undang-Undang Nomor 39 Tahun 1999 tentang Hak Asasi Manusia juga memperkuat jaminan Hak Asasi Manusia dalam setiap proses penegakan hukum. Meskipun peraturan hukum telah ada, implementasi prinsip Hak Asasi Manusia dalam proses penyidikan masih menghadapi banyak tantangan di lapangan. Banyak kasus penyiksaan, penahanan sewenang-wenang, dan pelanggaran hak-hak tersangka yang dilaporkan terjadi selama penyidikan. Ini menunjukkan adanya kesenjangan antara peraturan yang ada dengan pelaksanaannya di tingkat praktik. Salah satu faktor penyebabnya adalah kurangnya kesadaran dan pemahaman aparat penegak hukum tentang pentingnya Hak Asasi Manusia serta lemahnya pengawasan.</w:t>
      </w:r>
    </w:p>
    <w:p w14:paraId="0C5933FD" w14:textId="77777777" w:rsidR="00314325" w:rsidRDefault="00314325" w:rsidP="00314325">
      <w:pPr>
        <w:widowControl w:val="0"/>
        <w:spacing w:line="480" w:lineRule="auto"/>
        <w:ind w:firstLine="720"/>
        <w:jc w:val="both"/>
      </w:pPr>
      <w:r>
        <w:t xml:space="preserve">Karena setiap orang memiliki karakter, sikap, atau sifat serta bentuk tubuh yang berbeda-beda, setiap pekerjaan atau kegiatan pasti memiliki tantangan yang dihadapi oleh orang yang melakukannya. Selain itu, pasti akan ada hambatan yang dihadapi penyidik selama penyidikan. Salah satu kendala utama adalah kurangnya pemahaman aparat penegak hukum, terutama penyidik, mengenai prinsip-prinsip Hak Asasi Manusia. Tidak semua penyidik menerima pelatihan khusus terkait Hak Asasi Manusia, sehingga penerapan standar Hak Asasi Manusia dalam proses penyidikan tidak seragam. Minimnya pemahaman ini berpotensi menyebabkan tindakan yang melanggar hak-hak tersangka, seperti perlakuan sewenang-wenang atau penggunaan </w:t>
      </w:r>
      <w:r>
        <w:lastRenderedPageBreak/>
        <w:t>kekerasan. Dalam beberapa kasus, masih terdapat budaya kekerasan yang melibatkan aparat penegak hukum dalam menjalankan tugas penyidikan. Penggunaan kekerasan fisik atau psikologis untuk mendapatkan pengakuan dari tersangka bertentangan dengan prinsip Hak Asasi Manusia dan presumption of innocence. Hal ini menjadi hambatan serius dalam implementasi Hak Asasi Manusia karena bertolak belakang dengan perlindungan hak asasi tersangka. Walaupun telah ada mekanisme pengawasan terhadap penyidik, pengawasan tersebut sering kali dianggap lemah dan tidak efektif. Lembaga pengawas, seperti Komnas Hak Asasi Manusia atau internal Kepolisian, terkadang kurang sigap dalam merespons aduan terkait pelanggaran Hak Asasi Manusia.</w:t>
      </w:r>
      <w:r>
        <w:rPr>
          <w:rStyle w:val="FootnoteReference"/>
        </w:rPr>
        <w:footnoteReference w:id="19"/>
      </w:r>
    </w:p>
    <w:p w14:paraId="552C2CC7" w14:textId="77777777" w:rsidR="00314325" w:rsidRDefault="00314325" w:rsidP="00314325">
      <w:pPr>
        <w:widowControl w:val="0"/>
        <w:spacing w:line="480" w:lineRule="auto"/>
        <w:ind w:firstLine="720"/>
        <w:jc w:val="both"/>
      </w:pPr>
      <w:r>
        <w:t xml:space="preserve">Hal ini membuat penyidik merasa kurang diawasi dan bebas dalam mengambil langkah-langkah yang tidak sesuai dengan prinsip Hak Asasi Manusia. Beberapa lembaga penegak hukum di daerah-daerah terpencil menghadapi kendala berupa kurangnya sarana dan prasarana yang mendukung proses penyidikan yang sesuai dengan prinsip Hak Asasi Manusia. Fasilitas yang tidak memadai, seperti ruang interogasi yang tidak sesuai standar atau kurangnya akses terhadap penasihat hukum, dapat berpotensi menghambat penerapan Hak Asasi Manusia dalam penyidikan. Meskipun tersangka memiliki hak untuk mendapatkan bantuan hukum, kenyataannya tidak semua tersangka dapat memanfaatkan hak ini secara optimal. Banyak tersangka, terutama yang berasal dari kelompok masyarakat yang kurang mampu, tidak memiliki akses yang cukup terhadap penasihat hukum yang </w:t>
      </w:r>
      <w:r>
        <w:lastRenderedPageBreak/>
        <w:t>berkualitas. Selain itu, keterbatasan waktu penasihat hukum dalam mendampingi tersangka juga menjadi kendala. Tekanan dari publik atau media dalam kasus-kasus yang menarik perhatian luas sering kali mempengaruhi jalannya proses penyidikan. Dalam beberapa kasus, penyidik merasa tertekan untuk segera menyelesaikan kasus atau mendapatkan pengakuan dari tersangka, sehingga mengabaikan prinsip-prinsip Hak Asasi Manusia. Hal ini terutama terjadi pada kasus-kasus yang melibatkan tokoh-tokoh publik atau kasus yang mendapatkan perhatian besar dari masyarakat. Kendala lainnya adalah kurangnya koordinasi antara institusi yang terlibat dalam proses penyidikan, seperti Kepolisian, Kejaksaan, dan Komnas Hak Asasi Manusia. Kurangnya koordinasi ini dapat menghambat pelaksanaan penyidikan yang sejalan dengan prinsip Hak Asasi Manusia, terutama dalam hal saling berbagi informasi dan pemantauan.</w:t>
      </w:r>
    </w:p>
    <w:p w14:paraId="1ABEAD28" w14:textId="77777777" w:rsidR="00314325" w:rsidRDefault="00314325" w:rsidP="00314325">
      <w:pPr>
        <w:widowControl w:val="0"/>
        <w:spacing w:line="480" w:lineRule="auto"/>
        <w:ind w:firstLine="720"/>
        <w:jc w:val="both"/>
      </w:pPr>
      <w:r>
        <w:t>Dalam proses penyidikan, penyidik sering kali menghadapi berbagai kendala untuk mendapatkan keterangan dari tersangka. Beberapa kendala-kendala tersebut yaitu:</w:t>
      </w:r>
      <w:r>
        <w:rPr>
          <w:rStyle w:val="FootnoteReference"/>
        </w:rPr>
        <w:footnoteReference w:id="20"/>
      </w:r>
    </w:p>
    <w:p w14:paraId="2005895C" w14:textId="77777777" w:rsidR="00314325" w:rsidRDefault="00314325" w:rsidP="00314325">
      <w:pPr>
        <w:pStyle w:val="ListParagraph"/>
        <w:widowControl w:val="0"/>
        <w:numPr>
          <w:ilvl w:val="0"/>
          <w:numId w:val="45"/>
        </w:numPr>
        <w:spacing w:line="480" w:lineRule="auto"/>
        <w:ind w:left="1080" w:hanging="360"/>
        <w:jc w:val="both"/>
      </w:pPr>
      <w:r>
        <w:t>Hak untuk Tidak Mengakui/diam (Right to Remain Silent): Salah satu kendala yang dihadapi penyidik adalah hak tersangka untuk tetap diam selama proses interogasi. Prinsip hak asasi manusia memberikan kebebasan bagi tersangka untuk tidak memberikan keterangan jika merasa itu akan memberatkan dirinya. Tersangka juga memiliki hak untuk tidak mengakui tuduhan yang diajukan, yang bisa membuat penyidik kesulitan memperoleh informasi yang relevan.</w:t>
      </w:r>
    </w:p>
    <w:p w14:paraId="0F73603F" w14:textId="77777777" w:rsidR="00314325" w:rsidRDefault="00314325" w:rsidP="00314325">
      <w:pPr>
        <w:pStyle w:val="ListParagraph"/>
        <w:widowControl w:val="0"/>
        <w:numPr>
          <w:ilvl w:val="0"/>
          <w:numId w:val="45"/>
        </w:numPr>
        <w:spacing w:line="480" w:lineRule="auto"/>
        <w:ind w:left="1080" w:hanging="360"/>
        <w:jc w:val="both"/>
      </w:pPr>
      <w:r>
        <w:lastRenderedPageBreak/>
        <w:t xml:space="preserve">Peran Penasehat Hukum: Tersangka sering kali didampingi oleh penasihat hukum selama proses pemeriksaan, yang bertugas melindungi hak-hak tersangka. Dalam beberapa kasus, penasihat hukum bisa menyarankan tersangka untuk tidak memberikan keterangan tertentu, yang dapat menjadi hambatan bagi penyidik. Kehadiran penasihat hukum bisa mempersulit penyidik dalam mengajukan pertanyaan-pertanyaan yang mendalam. </w:t>
      </w:r>
    </w:p>
    <w:p w14:paraId="584011D9" w14:textId="77777777" w:rsidR="00314325" w:rsidRDefault="00314325" w:rsidP="00314325">
      <w:pPr>
        <w:pStyle w:val="ListParagraph"/>
        <w:widowControl w:val="0"/>
        <w:numPr>
          <w:ilvl w:val="0"/>
          <w:numId w:val="45"/>
        </w:numPr>
        <w:spacing w:line="480" w:lineRule="auto"/>
        <w:ind w:left="1080" w:hanging="360"/>
        <w:jc w:val="both"/>
      </w:pPr>
      <w:r>
        <w:t>Manipulasi atau Pengelakan dari Tersangka: Tersangka bisa saja memberikan keterangan yang tidak konsisten atau bahkan berbohong untuk menyesatkan penyidikan. Mereka mungkin berusaha menyembunyikan fakta, memberikan informasi palsu, atau mengelak dari pertanyaan yang dianggap memberatkan. Ini mengharuskan penyidik untuk melakukan verifikasi lebih lanjut dan mencari bukti pendukung lainnya, yang bisa memperpanjang proses penyidikan.</w:t>
      </w:r>
    </w:p>
    <w:p w14:paraId="2CF99E2E" w14:textId="77777777" w:rsidR="00314325" w:rsidRDefault="00314325" w:rsidP="00314325">
      <w:pPr>
        <w:pStyle w:val="ListParagraph"/>
        <w:widowControl w:val="0"/>
        <w:numPr>
          <w:ilvl w:val="0"/>
          <w:numId w:val="45"/>
        </w:numPr>
        <w:spacing w:line="480" w:lineRule="auto"/>
        <w:ind w:left="1080" w:hanging="360"/>
        <w:jc w:val="both"/>
      </w:pPr>
      <w:r>
        <w:t>Kondisi Psikologis Tersangka: Kondisi psikologis tersangka sering kali menjadi hambatan dalam memperoleh keterangan yang akurat. Tersangka yang merasa tertekan, cemas, atau takut dapat menjadi tertutup atau tidak kooperatif selama interogasi. Bahkan, tersangka yang mengalami trauma akibat penangkapan atau intimidasi sebelumnya bisa menolak memberikan keterangan secara sukarela.</w:t>
      </w:r>
    </w:p>
    <w:p w14:paraId="7F361736" w14:textId="77777777" w:rsidR="00314325" w:rsidRDefault="00314325" w:rsidP="00314325">
      <w:pPr>
        <w:pStyle w:val="ListParagraph"/>
        <w:widowControl w:val="0"/>
        <w:numPr>
          <w:ilvl w:val="0"/>
          <w:numId w:val="45"/>
        </w:numPr>
        <w:spacing w:line="480" w:lineRule="auto"/>
        <w:ind w:left="1080" w:hanging="360"/>
        <w:jc w:val="both"/>
      </w:pPr>
      <w:r>
        <w:t xml:space="preserve">Pengaruh Tekanan Eksternal: Tersangka mungkin menghadapi tekanan eksternal dari pihak-pihak tertentu, seperti keluarga, kelompok kriminal, atau pihak lain yang berkepentingan dalam kasus tersebut. Tekanan ini </w:t>
      </w:r>
      <w:r>
        <w:lastRenderedPageBreak/>
        <w:t>bisa membuat tersangka enggan untuk memberikan keterangan yang sebenarnya karena takut terhadap ancaman atau dampak sosial yang mungkin dialaminya.</w:t>
      </w:r>
    </w:p>
    <w:p w14:paraId="59255DEA" w14:textId="77777777" w:rsidR="00314325" w:rsidRDefault="00314325" w:rsidP="00314325">
      <w:pPr>
        <w:pStyle w:val="ListParagraph"/>
        <w:widowControl w:val="0"/>
        <w:numPr>
          <w:ilvl w:val="0"/>
          <w:numId w:val="45"/>
        </w:numPr>
        <w:spacing w:line="480" w:lineRule="auto"/>
        <w:ind w:left="1080" w:hanging="360"/>
        <w:jc w:val="both"/>
      </w:pPr>
      <w:r>
        <w:t>Ketidakmampuan Komunikasi Tersangka: Beberapa tersangka mungkin memiliki kesulitan dalam berkomunikasi, baik karena kurangnya kemampuan verbal, gangguan mental, atau perbedaan bahasa. Ini sering terjadi pada tersangka yang berasal dari latar belakang pendidikan rendah, tersangka dengan disabilitas, atau warga asing yang tidak menguasai bahasa Indonesia dengan baik. Dalam kondisi ini, penyidik harus menggunakan pendekatan yang lebih hati-hati dan memerlukan bantuan penerjemah atau ahli.</w:t>
      </w:r>
    </w:p>
    <w:p w14:paraId="0990B80C" w14:textId="77777777" w:rsidR="00314325" w:rsidRDefault="00314325" w:rsidP="00314325">
      <w:pPr>
        <w:pStyle w:val="ListParagraph"/>
        <w:widowControl w:val="0"/>
        <w:numPr>
          <w:ilvl w:val="0"/>
          <w:numId w:val="45"/>
        </w:numPr>
        <w:spacing w:line="480" w:lineRule="auto"/>
        <w:ind w:left="1080" w:hanging="360"/>
        <w:jc w:val="both"/>
      </w:pPr>
      <w:r>
        <w:t>Keterbatasan Waktu: Penyidik seringkali dihadapkan dengan batasan waktu yang ketat dalam proses pemeriksaan. Dalam hal penangkapan dan penahanan, penyidik hanya memiliki waktu yang terbatas untuk mendapatkan keterangan dari tersangka sebelum tenggat waktu tertentu. Keterbatasan ini dapat mempersulit proses penyidikan, terutama jika tersangka tidak kooperatif atau proses interogasi berjalan lambat.</w:t>
      </w:r>
    </w:p>
    <w:p w14:paraId="0FF15644" w14:textId="77777777" w:rsidR="00314325" w:rsidRDefault="00314325" w:rsidP="00314325">
      <w:pPr>
        <w:pStyle w:val="ListParagraph"/>
        <w:widowControl w:val="0"/>
        <w:numPr>
          <w:ilvl w:val="0"/>
          <w:numId w:val="45"/>
        </w:numPr>
        <w:spacing w:line="480" w:lineRule="auto"/>
        <w:ind w:left="1080" w:hanging="360"/>
        <w:jc w:val="both"/>
      </w:pPr>
      <w:r>
        <w:t xml:space="preserve">Tersangka yang Sudah Dilatih untuk Menghadapi Interogasi: Dalam kasus-kasus kriminal yang melibatkan kelompok terorganisir atau tersangka yang sudah terbiasa dengan proses hukum, mereka mungkin sudah dilatih atau mendapatkan instruksi mengenai cara menghadapi interogasi. Tersangka semacam ini cenderung lebih berhati-hati dalam memberikan keterangan dan mengetahui cara-cara untuk menghindari </w:t>
      </w:r>
      <w:r>
        <w:lastRenderedPageBreak/>
        <w:t>jebakan penyidik.</w:t>
      </w:r>
    </w:p>
    <w:p w14:paraId="38872121" w14:textId="77777777" w:rsidR="00314325" w:rsidRDefault="00314325" w:rsidP="00314325">
      <w:pPr>
        <w:pStyle w:val="ListParagraph"/>
        <w:widowControl w:val="0"/>
        <w:numPr>
          <w:ilvl w:val="0"/>
          <w:numId w:val="45"/>
        </w:numPr>
        <w:spacing w:line="480" w:lineRule="auto"/>
        <w:ind w:left="1080" w:hanging="360"/>
        <w:jc w:val="both"/>
      </w:pPr>
      <w:r>
        <w:t>Adanya Penyalahgunaan Wewenang oleh Penyidik: Terkadang, penyidik bisa menghadapi dilema etis jika merasa tergoda untuk menggunakan metode intimidasi atau kekerasan untuk mendapatkan keterangan dari tersangka. Meskipun cara ini jelas melanggar prinsip Hak Asasi Manusia dan hukum, ada kasus di mana penyidik merasa frustrasi karena tersangka terus menolak memberikan informasi penting.</w:t>
      </w:r>
    </w:p>
    <w:p w14:paraId="330ED232" w14:textId="77777777" w:rsidR="00314325" w:rsidRDefault="00314325" w:rsidP="00314325">
      <w:pPr>
        <w:widowControl w:val="0"/>
        <w:spacing w:line="480" w:lineRule="auto"/>
        <w:ind w:firstLine="720"/>
        <w:jc w:val="both"/>
      </w:pPr>
      <w:r>
        <w:t>Berbagai kendala yang dihadapi penyidik dalam mendapatkan keterangan dari tersangka menunjukkan kompleksitas proses penyidikan. Tantangan-tantangan tersebut menuntut penyidik untuk menggunakan teknik yang lebih cerdas dan profesional dalam menjalankan tugas mereka, seperti melalui verifikasi bukti fisik dan pengembangan strategi interogasi yang lebih humanis serta sesuai dengan standar hak asasi manusia. Untuk menghadapi tantangan pemeriksaan, hati nuranipun harus berjalan. Selain itu, penyidik juga menggunakan undang-undang untuk memecahkan masalah, seperti memanggil spesialis di bidang tersebut.</w:t>
      </w:r>
    </w:p>
    <w:p w14:paraId="5AA28E85"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294273A9" w14:textId="77777777" w:rsidR="00314325" w:rsidRDefault="00314325" w:rsidP="00314325">
      <w:pPr>
        <w:pStyle w:val="ListParagraph"/>
        <w:jc w:val="both"/>
      </w:pPr>
      <w:r w:rsidRPr="00081D89">
        <w:t xml:space="preserve">Secara umum, saya memandang bahwa perlindungan hak asasi manusia merupakan aspek fundamental yang harus selalu dijaga dalam setiap proses penegakan hukum. Dalam perkara ini, kami di pengadilan berusaha memastikan bahwa hak-hak tersangka dan terdakwa tetap terlindungi sesuai ketentuan hukum dan prinsip-prinsip HAM. Hal ini termasuk hak untuk mendapatkan perlakuan yang manusiawi, hak untuk didampingi penasihat hukum, serta hak atas keadilan dan persamaan di muka hukum. Kami berkomitmen untuk menjalankan proses peradilan yang adil, transparan, dan </w:t>
      </w:r>
      <w:r w:rsidRPr="00081D89">
        <w:lastRenderedPageBreak/>
        <w:t>menghormati hak asasi manusia, sebagai bagian dari upaya menegakkan supremasi hukum dan keadilan yang beradab.</w:t>
      </w:r>
      <w:r>
        <w:rPr>
          <w:rStyle w:val="FootnoteReference"/>
        </w:rPr>
        <w:footnoteReference w:id="21"/>
      </w:r>
    </w:p>
    <w:p w14:paraId="755BF115" w14:textId="77777777" w:rsidR="00314325" w:rsidRDefault="00314325" w:rsidP="00314325">
      <w:pPr>
        <w:pStyle w:val="ListParagraph"/>
        <w:jc w:val="both"/>
      </w:pPr>
    </w:p>
    <w:p w14:paraId="633CB8E6" w14:textId="77777777" w:rsidR="00314325" w:rsidRDefault="00314325" w:rsidP="00314325">
      <w:pPr>
        <w:widowControl w:val="0"/>
        <w:spacing w:line="480" w:lineRule="auto"/>
        <w:ind w:firstLine="720"/>
        <w:jc w:val="both"/>
      </w:pPr>
      <w:r>
        <w:t xml:space="preserve">Menurut analisis peneliti, jawaban hakim menunjukkan pemahaman yang baik tentang pentingnya perlindungan hak asasi manusia (HAM) dalam proses penegakan hukum. Hakim menegaskan bahwa perlindungan HAM merupakan aspek fundamental yang harus selalu menjadi prioritas dalam setiap tahapan peradilan. </w:t>
      </w:r>
    </w:p>
    <w:p w14:paraId="2B8E3C94" w14:textId="77777777" w:rsidR="00314325" w:rsidRDefault="00314325" w:rsidP="00314325">
      <w:pPr>
        <w:widowControl w:val="0"/>
        <w:spacing w:line="480" w:lineRule="auto"/>
        <w:ind w:firstLine="720"/>
        <w:jc w:val="both"/>
      </w:pPr>
      <w:r>
        <w:t>Pernyataan ini mencerminkan kesadaran akan tanggung jawab moral dan profesional hakim untuk memastikan bahwa hak-hak tersangka dan terdakwa tidak dilanggar selama proses berlangsung. Hakim juga menyampaikan bahwa dalam praktiknya, mereka berupaya memastikan perlindungan hak tersebut sesuai dengan ketentuan hukum dan prinsip-prinsip HAM, yang menunjukkan komitmen terhadap keadilan substantif.</w:t>
      </w:r>
    </w:p>
    <w:p w14:paraId="0AB6B842" w14:textId="77777777" w:rsidR="00314325" w:rsidRDefault="00314325" w:rsidP="00314325">
      <w:pPr>
        <w:widowControl w:val="0"/>
        <w:spacing w:line="480" w:lineRule="auto"/>
        <w:ind w:firstLine="720"/>
        <w:jc w:val="both"/>
      </w:pPr>
      <w:r>
        <w:t>Namun, jawaban ini bersifat umum dan tidak menyertakan rincian atau indikator konkret mengenai mekanisme atau langkah-langkah spesifik yang diambil dalam praktik untuk mewujudkan perlindungan HAM tersebut. Peneliti dapat menilai bahwa meskipun jawaban ini menunjukkan kesadaran dan niat baik, akan lebih lengkap jika disertai dengan penjelasan tentang implementasi nyata, pengawasan, dan evaluasi yang dilakukan pengadilan dalam menjaga hak-hak tersebut secara praktis.</w:t>
      </w:r>
      <w:r w:rsidRPr="0096471C">
        <w:t xml:space="preserve"> Secara keseluruhan, jawaban ini mencerminkan pandangan yang positif dan sesuai dengan prinsip dasar hukum, tetapi perlu didukung oleh data dan proses konkret untuk menilai efektivitas perlindungan HAM dalam praktik di lapangan.</w:t>
      </w:r>
    </w:p>
    <w:p w14:paraId="1EC78230" w14:textId="77777777" w:rsidR="00314325" w:rsidRDefault="00314325" w:rsidP="00314325">
      <w:pPr>
        <w:widowControl w:val="0"/>
        <w:spacing w:line="480" w:lineRule="auto"/>
        <w:ind w:firstLine="720"/>
        <w:jc w:val="both"/>
      </w:pPr>
      <w:r>
        <w:t>Berdasarkan hasil wawancara dengan Bapak</w:t>
      </w:r>
      <w:r w:rsidRPr="00CC4EF9">
        <w:t xml:space="preserve"> </w:t>
      </w:r>
      <w:r>
        <w:t xml:space="preserve">Deny Syahputra, S.H., M.H. </w:t>
      </w:r>
      <w:r>
        <w:lastRenderedPageBreak/>
        <w:t>selaku hakim di Pengadilan negeri Medan menjelaskan bahwa:</w:t>
      </w:r>
    </w:p>
    <w:p w14:paraId="66DA267B" w14:textId="77777777" w:rsidR="00314325" w:rsidRDefault="00314325" w:rsidP="00314325">
      <w:pPr>
        <w:pStyle w:val="ListParagraph"/>
        <w:jc w:val="both"/>
      </w:pPr>
      <w:r w:rsidRPr="00081D89">
        <w:t>Sebagai hakim, kami selalu berupaya menjalankan proses persidangan yang berlandaskan prinsip keadilan dan perlindungan hak asasi manusia. Beberapa langkah yang kami lakukan me</w:t>
      </w:r>
      <w:r>
        <w:t>liputi m</w:t>
      </w:r>
      <w:r w:rsidRPr="00081D89">
        <w:t>emberikan hak kepada tersangka dan terdakwa untuk didampingi penasihat hukum sejak awal proses hingga persidangan berlangsung.</w:t>
      </w:r>
      <w:r>
        <w:t xml:space="preserve"> </w:t>
      </w:r>
      <w:r w:rsidRPr="00081D89">
        <w:t>Menginformasikan secara lengkap dan jelas mengenai tuduhan, hak-hak mereka, serta proses hukum yang sedang berlangsung.</w:t>
      </w:r>
      <w:r>
        <w:t xml:space="preserve"> </w:t>
      </w:r>
      <w:r w:rsidRPr="00081D89">
        <w:t>Memastikan tersangka dan terdakwa memahami hak-hak mereka, termasuk hak untuk mengajukan keberatan, hak untuk mengajukan saksi, dan hak atas pembelaan.</w:t>
      </w:r>
      <w:r>
        <w:t xml:space="preserve"> </w:t>
      </w:r>
      <w:r w:rsidRPr="00081D89">
        <w:t>Mengatur agar proses pemeriksaan dan sidang berlangsung secara adil dan tidak diskriminatif, serta menghindari perlakuan yang merendahkan harkat dan martabat mereka.</w:t>
      </w:r>
      <w:r>
        <w:t xml:space="preserve"> </w:t>
      </w:r>
      <w:r w:rsidRPr="00081D89">
        <w:t>Menjamin bahwa selama proses berlangsung, tersangka dan terdakwa tidak mengalami penyiksaan, perlakuan tidak manusiawi, atau intimidasi dari pihak manapun. Memberikan kesempatan kepada mereka untuk mengajukan bantahan, keberatan, maupun permohonan yang berkaitan dengan hak-hak mereka.</w:t>
      </w:r>
      <w:r>
        <w:t xml:space="preserve"> </w:t>
      </w:r>
      <w:r w:rsidRPr="00081D89">
        <w:t>Melakukan pengawasan terhadap seluruh rangkaian proses agar tetap sesuai dengan ketentuan hukum dan prinsip hak asasi manusia.</w:t>
      </w:r>
      <w:r>
        <w:t xml:space="preserve"> </w:t>
      </w:r>
      <w:r w:rsidRPr="00081D89">
        <w:t>Langkah-langkah ini kami lakukan agar proses persidangan berjalan fair dan hak-hak hukum para pi</w:t>
      </w:r>
      <w:r>
        <w:t>hak terlindungi secara optimal.</w:t>
      </w:r>
      <w:r>
        <w:rPr>
          <w:rStyle w:val="FootnoteReference"/>
        </w:rPr>
        <w:footnoteReference w:id="22"/>
      </w:r>
    </w:p>
    <w:p w14:paraId="5A031B9E" w14:textId="77777777" w:rsidR="00314325" w:rsidRDefault="00314325" w:rsidP="00314325">
      <w:pPr>
        <w:pStyle w:val="ListParagraph"/>
        <w:jc w:val="both"/>
      </w:pPr>
    </w:p>
    <w:p w14:paraId="44475B8F" w14:textId="77777777" w:rsidR="00314325" w:rsidRDefault="00314325" w:rsidP="00314325">
      <w:pPr>
        <w:widowControl w:val="0"/>
        <w:spacing w:line="480" w:lineRule="auto"/>
        <w:ind w:firstLine="720"/>
        <w:jc w:val="both"/>
      </w:pPr>
      <w:r>
        <w:t>Menurut analisis peneliti, jawaban hakim ini menunjukkan komitmen yang kuat terhadap prinsip keadilan dan perlindungan hak asasi manusia (HAM) dalam pelaksanaan tugasnya. Hakim menegaskan bahwa mereka secara aktif berupaya menjalankan proses persidangan yang berlandaskan prinsip keadilan, yang merupakan fondasi utama dalam sistem peradilan pidana.</w:t>
      </w:r>
    </w:p>
    <w:p w14:paraId="00904AA7" w14:textId="77777777" w:rsidR="00314325" w:rsidRDefault="00314325" w:rsidP="00314325">
      <w:pPr>
        <w:widowControl w:val="0"/>
        <w:spacing w:line="480" w:lineRule="auto"/>
        <w:ind w:firstLine="720"/>
        <w:jc w:val="both"/>
      </w:pPr>
      <w:r>
        <w:t>Selain itu, hakim menyebutkan langkah konkret yang diambil, yaitu memberikan hak kepada tersangka dan terdakwa untuk didampingi penasihat hukum sejak awal proses hingga persidangan. Ini menunjukkan adanya upaya untuk memastikan bahwa hak-hak dasar para pihak dipenuhi dan bahwa mereka memperoleh perlindungan hukum yang memadai selama proses berlangsung.</w:t>
      </w:r>
    </w:p>
    <w:p w14:paraId="3A8CAA02" w14:textId="77777777" w:rsidR="00314325" w:rsidRDefault="00314325" w:rsidP="00314325">
      <w:pPr>
        <w:widowControl w:val="0"/>
        <w:spacing w:line="480" w:lineRule="auto"/>
        <w:ind w:firstLine="720"/>
        <w:jc w:val="both"/>
      </w:pPr>
      <w:r>
        <w:lastRenderedPageBreak/>
        <w:t>Namun, penilaian terhadap jawaban ini perlu mempertimbangkan bahwa penekanan pada pemberian hak didampingi penasihat hukum merupakan salah satu aspek penting, tetapi tidak cukup lengkap untuk menilai secara menyeluruh mekanisme perlindungan HAM yang dilakukan. Peneliti mungkin mengharapkan penjelasan lebih rinci tentang bagaimana proses tersebut diimplementasikan secara substantif, termasuk mekanisme pengawasan, pelatihan petugas, serta evaluasi efektivitas perlindungan hak-hak tersebut.</w:t>
      </w:r>
    </w:p>
    <w:p w14:paraId="4162D130" w14:textId="77777777" w:rsidR="00314325" w:rsidRDefault="00314325" w:rsidP="00314325">
      <w:pPr>
        <w:widowControl w:val="0"/>
        <w:spacing w:line="480" w:lineRule="auto"/>
        <w:ind w:firstLine="720"/>
        <w:jc w:val="both"/>
      </w:pPr>
      <w:r>
        <w:t>Secara umum, jawaban ini mencerminkan niat baik dan kesadaran akan pentingnya perlindungan hak asasi manusia dalam proses peradilan, namun diperlukan data empiris dan indikator nyata yang menunjukkan penerapan dan keberhasilan langkah-langkah tersebut dalam praktek.</w:t>
      </w:r>
    </w:p>
    <w:p w14:paraId="0700082A"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2745F20D" w14:textId="77777777" w:rsidR="00314325" w:rsidRDefault="00314325" w:rsidP="00314325">
      <w:pPr>
        <w:pStyle w:val="ListParagraph"/>
        <w:jc w:val="both"/>
      </w:pPr>
      <w:r w:rsidRPr="002C6D91">
        <w:t>Ya, tentu. Dalam setiap tahapan proses hukum, termasuk dalam perkara ini, kami sebagai penegak keadilan berupaya keras memastikan bahwa hak asasi manusia para pihak, terutama tersangka dan terdakwa, tidak dilanggar. Beberapa upaya yang dilakukan meliputi:</w:t>
      </w:r>
      <w:r>
        <w:t xml:space="preserve"> Pengawasan langsung terhadap proses penyidikan oleh penyidik guna memastikan bahwa prosedur yang dijalankan sesuai dengan ketentuan hukum dan prinsip HAM. Melakukan pemeriksaan secara rutin terhadap dokumen dan proses penuntutan untuk memastikan tidak ada tindakan yang melanggar hak-hak tersangka. Memberikan arahan dan pengawasan kepada aparat penegak hukum, seperti penyidik dan jaksa, agar selalu berpegang pada prinsip keadilan dan perlindungan HAM. Selalu mengingatkan semua pihak terkait pentingnya menghormati hak-hak asasi manusia, termasuk hak atas perlakuan manusiawi, hak untuk mendapatkan keadilan, dan hak atas proses hukum yang adil. Dalam persidangan, kami memastikan adanya pemeriksaan yang adil, perlindungan saksi, serta pengawasan terhadap perlakuan terhadap terdakwa selama proses berlangsung. Jika ada indikasi pelanggaran HAM, kami tidak ragu-ragu untuk menegur dan meminta pihak terkait memperbaiki prosedur. Upaya ini kami lakukan sebagai bagian dari komitmen menjaga integritas </w:t>
      </w:r>
      <w:r>
        <w:lastRenderedPageBreak/>
        <w:t>proses hukum dan memastikan pelaksanaan hukum yang berkeadilan dan berperikemanusiaan.</w:t>
      </w:r>
      <w:r>
        <w:rPr>
          <w:rStyle w:val="FootnoteReference"/>
        </w:rPr>
        <w:footnoteReference w:id="23"/>
      </w:r>
    </w:p>
    <w:p w14:paraId="41639871" w14:textId="77777777" w:rsidR="00314325" w:rsidRDefault="00314325" w:rsidP="00314325">
      <w:pPr>
        <w:pStyle w:val="ListParagraph"/>
        <w:jc w:val="both"/>
      </w:pPr>
    </w:p>
    <w:p w14:paraId="24DBF7FA" w14:textId="77777777" w:rsidR="00314325" w:rsidRDefault="00314325" w:rsidP="00314325">
      <w:pPr>
        <w:widowControl w:val="0"/>
        <w:spacing w:line="480" w:lineRule="auto"/>
        <w:ind w:firstLine="720"/>
        <w:jc w:val="both"/>
      </w:pPr>
      <w:r>
        <w:t>Menurut analisis peneliti, jawaban hakim ini menunjukkan kesadaran dan komitmen terhadap perlindungan hak asasi manusia (HAM) selama seluruh proses hukum, termasuk dalam penanganan perkara tertentu. Hakim menegaskan bahwa dalam setiap tahapan, mereka berusaha keras memastikan bahwa hak-hak para pihak, terutama tersangka dan terdakwa, terlindungi dan tidak dilanggar.</w:t>
      </w:r>
    </w:p>
    <w:p w14:paraId="25C4EBE4" w14:textId="77777777" w:rsidR="00314325" w:rsidRDefault="00314325" w:rsidP="00314325">
      <w:pPr>
        <w:widowControl w:val="0"/>
        <w:spacing w:line="480" w:lineRule="auto"/>
        <w:ind w:firstLine="720"/>
        <w:jc w:val="both"/>
      </w:pPr>
      <w:r>
        <w:t>Penekanan pada pengawasan langsung terhadap proses penyidikan oleh penyidik merupakan langkah konkret yang menunjukkan adanya peran aktif hakim dalam memastikan prosedur dijalankan sesuai dengan ketentuan hukum dan prinsip HAM. Ini mencerminkan upaya pengawasan preventif yang penting untuk mencegah pelanggaran hak asasi selama proses penyidikan.</w:t>
      </w:r>
    </w:p>
    <w:p w14:paraId="0E9A5AE7" w14:textId="77777777" w:rsidR="00314325" w:rsidRDefault="00314325" w:rsidP="00314325">
      <w:pPr>
        <w:widowControl w:val="0"/>
        <w:spacing w:line="480" w:lineRule="auto"/>
        <w:ind w:firstLine="720"/>
        <w:jc w:val="both"/>
      </w:pPr>
      <w:r>
        <w:t>Namun, penilaian terhadap jawaban ini perlu mempertimbangkan bahwa penjabaran tersebut bersifat umum dan belum menjelaskan secara rinci mekanisme, indikator, atau bentuk pengawasan yang dilakukan secara praktis dan berkelanjutan. Peneliti mungkin mengharapkan penjelasan tentang prosedur pengawasan, pelaporan, serta langkah-langkah tindak lanjut jika ditemukan pelanggaran. Secara keseluruhan, jawaban ini menunjukkan niat baik dan kesadaran akan pentingnya perlindungan HAM dalam proses hukum, tetapi perlu didukung oleh data empiris dan mekanisme konkret yang menunjukkan efektivitas pengawasan tersebut dalam praktik.</w:t>
      </w:r>
    </w:p>
    <w:p w14:paraId="529E17EC"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1608A7EE" w14:textId="77777777" w:rsidR="00314325" w:rsidRDefault="00314325" w:rsidP="00314325">
      <w:pPr>
        <w:pStyle w:val="ListParagraph"/>
        <w:jc w:val="both"/>
      </w:pPr>
      <w:r>
        <w:lastRenderedPageBreak/>
        <w:t xml:space="preserve">Secara umum, saya menilai bahwa perlakuan terhadap tersangka dan terdakwa selama proses berlangsung sudah cukup baik dan sesuai dengan ketentuan hukum serta prinsip perlindungan HAM. Kami selalu berupaya memastikan bahwa mereka diperlakukan secara manusiawi, tidak mengalami perlakuan menyakiti atau merendahkan harkat dan martabatnya. Dalam proses persidangan ini, kami memastikan bahwa hak-hak mereka untuk mendapatkan perlindungan, keadilan, dan kesempatan untuk membela diri terpenuhi. Hal ini tercermin dari pemberian hak untuk didampingi penasihat hukum, kesempatan mengajukan saksi dan keberatan, serta perlindungan selama proses berlangsung. </w:t>
      </w:r>
      <w:r w:rsidRPr="003929AA">
        <w:t>Namun, tentu saja, kami tetap mengingatkan bahwa proses ini harus berjalan secara adil dan transparan, dan jika ditemukan adanya perlakuan yang tidak sesuai, kami siap menegur dan memperbaikinya. Secara keseluruhan, saya menilai bahwa perlakuan terhadap tersangka dan terdakwa sudah memenuhi aspek-aspek</w:t>
      </w:r>
      <w:r>
        <w:t xml:space="preserve"> perlindungan HAM yang berlaku.</w:t>
      </w:r>
      <w:r>
        <w:rPr>
          <w:rStyle w:val="FootnoteReference"/>
        </w:rPr>
        <w:footnoteReference w:id="24"/>
      </w:r>
    </w:p>
    <w:p w14:paraId="651F1E37" w14:textId="77777777" w:rsidR="00314325" w:rsidRDefault="00314325" w:rsidP="00314325">
      <w:pPr>
        <w:pStyle w:val="ListParagraph"/>
        <w:jc w:val="both"/>
      </w:pPr>
    </w:p>
    <w:p w14:paraId="75D70C21" w14:textId="77777777" w:rsidR="00314325" w:rsidRDefault="00314325" w:rsidP="00314325">
      <w:pPr>
        <w:widowControl w:val="0"/>
        <w:spacing w:line="480" w:lineRule="auto"/>
        <w:ind w:firstLine="720"/>
        <w:jc w:val="both"/>
      </w:pPr>
      <w:r>
        <w:t>Menurut analisis peneliti,</w:t>
      </w:r>
      <w:r w:rsidRPr="00F041EE">
        <w:t xml:space="preserve"> </w:t>
      </w:r>
      <w:r>
        <w:t>jawaban hakim ini menunjukkan penilaian positif terhadap perlakuan terhadap tersangka dan terdakwa selama proses berlangsung. Hakim menyatakan bahwa mereka menilai perlakuan tersebut sudah cukup baik dan sesuai dengan ketentuan hukum serta prinsip perlindungan hak asasi manusia (HAM). Hal ini menunjukkan adanya kesadaran dan komitmen terhadap pentingnya memperlakukan tersangka dan terdakwa secara manusiawi.</w:t>
      </w:r>
    </w:p>
    <w:p w14:paraId="55F93A42" w14:textId="77777777" w:rsidR="00314325" w:rsidRDefault="00314325" w:rsidP="00314325">
      <w:pPr>
        <w:widowControl w:val="0"/>
        <w:spacing w:line="480" w:lineRule="auto"/>
        <w:ind w:firstLine="720"/>
        <w:jc w:val="both"/>
      </w:pPr>
      <w:r>
        <w:t>Hakim juga menegaskan bahwa mereka berupaya memastikan bahwa perlakuan terhadap para pihak tidak menyakiti atau merendahkan harkat dan martabat mereka. Ini mencerminkan perhatian terhadap aspek kemanusiaan dan perlindungan hak asasi, yang merupakan bagian integral dari sistem peradilan yang adil dan manusiawi.</w:t>
      </w:r>
    </w:p>
    <w:p w14:paraId="553CE1F2" w14:textId="77777777" w:rsidR="00314325" w:rsidRDefault="00314325" w:rsidP="00314325">
      <w:pPr>
        <w:widowControl w:val="0"/>
        <w:spacing w:line="480" w:lineRule="auto"/>
        <w:ind w:firstLine="720"/>
        <w:jc w:val="both"/>
      </w:pPr>
      <w:r>
        <w:t xml:space="preserve">Namun, dari sudut pandang penelitian, jawaban ini bersifat subjektif dan bersifat penilaian internal dari pihak hakim. Peneliti mungkin membutuhkan data empiris, indikator, atau bukti nyata yang menunjukkan bagaimana perlakuan tersebut </w:t>
      </w:r>
      <w:r>
        <w:lastRenderedPageBreak/>
        <w:t>diimplementasikan dalam praktik, termasuk mekanisme pengawasan dan penanganan terhadap pelanggaran yang mungkin terjadi.</w:t>
      </w:r>
    </w:p>
    <w:p w14:paraId="1BB4F74E" w14:textId="77777777" w:rsidR="00314325" w:rsidRDefault="00314325" w:rsidP="00314325">
      <w:pPr>
        <w:widowControl w:val="0"/>
        <w:spacing w:line="480" w:lineRule="auto"/>
        <w:ind w:firstLine="720"/>
        <w:jc w:val="both"/>
      </w:pPr>
      <w:r>
        <w:t>Secara umum, jawaban ini mengindikasikan niat baik dan kesadaran akan pentingnya perlindungan HAM, tetapi perlu dikaji lebih jauh apakah perlakuan tersebut benar-benar dijalankan secara konsisten dan efektif dalam semua aspek proses hukum.</w:t>
      </w:r>
    </w:p>
    <w:p w14:paraId="08801E84"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361F63C1" w14:textId="77777777" w:rsidR="00314325" w:rsidRDefault="00314325" w:rsidP="00314325">
      <w:pPr>
        <w:pStyle w:val="ListParagraph"/>
        <w:jc w:val="both"/>
      </w:pPr>
      <w:r>
        <w:t>Untuk memastikan bahwa hak-hak hukum para pihak tetap terlindungi selama proses peradilan, kami menerapkan beberapa mekanisme pengawasan, baik dari internal maupun eksternal. Pengawasan Internal meliputi Pengadilan memiliki sistem pengawasan internal yang dilakukan oleh majelis hakim sendiri dan badan pengawas internal pengadilan, yang bertugas memantau jalannya persidangan dan memastikan prosedur dilaksanakan sesuai ketentuan hukum.   Setiap persidangan diawasi secara langsung oleh hakim yang memimpin, serta didokumentasikan secara lengkap dan transparan.  Terdapat prosedur pelaporan jika ditemukan adanya pelanggaran hak atau perlakuan tidak adil, yang kemudian akan ditindaklanjuti secara internal. Pengawasan Eksternal meliputi Pengawasan dari lembaga eksternal seperti Komisi Yudisial, Ombudsman, dan lembaga perlindungan HAM yang melakukan monitoring terhadap proses peradilan dan memastikan hak-hak para pihak dilindungi. Terdapat mekanisme pengaduan bagi pihak yang merasa haknya dilanggar, yang dapat disampaikan ke lembaga-lembaga tersebut untuk ditindaklanjuti. Keterbukaan dan Transparansi meliputi Persidangan dilakukan secara terbuka untuk memastikan akuntabilitas dan pengawasan dari masyarakat dan lembaga terkait. Pengadilan menyediakan akses terhadap dokumen dan proses persidangan untuk memastikan tidak ada pelanggaran hak hukum. Secara keseluruhan, mekanisme ini dirancang untuk menjamin bahwa hak-hak hukum para pihak dilindungi secara maksimal dan proses peradilan berlangsung secara adil dan transparan.</w:t>
      </w:r>
      <w:r>
        <w:rPr>
          <w:rStyle w:val="FootnoteReference"/>
        </w:rPr>
        <w:footnoteReference w:id="25"/>
      </w:r>
    </w:p>
    <w:p w14:paraId="6D42A69F" w14:textId="77777777" w:rsidR="00314325" w:rsidRDefault="00314325" w:rsidP="00314325">
      <w:pPr>
        <w:pStyle w:val="ListParagraph"/>
        <w:jc w:val="both"/>
      </w:pPr>
    </w:p>
    <w:p w14:paraId="30FF14DA" w14:textId="77777777" w:rsidR="00314325" w:rsidRDefault="00314325" w:rsidP="00314325">
      <w:pPr>
        <w:widowControl w:val="0"/>
        <w:spacing w:line="480" w:lineRule="auto"/>
        <w:ind w:firstLine="720"/>
        <w:jc w:val="both"/>
      </w:pPr>
      <w:r>
        <w:t>Menurut analisis peneliti,</w:t>
      </w:r>
      <w:r w:rsidRPr="00F041EE">
        <w:t xml:space="preserve"> </w:t>
      </w:r>
      <w:r>
        <w:t xml:space="preserve">jawaban hakim ini menunjukkan komitmen institusional dalam menjamin perlindungan hak-hak hukum para pihak selama proses </w:t>
      </w:r>
      <w:r>
        <w:lastRenderedPageBreak/>
        <w:t>peradilan. Dengan menyebutkan penerapan mekanisme pengawasan baik dari internal maupun eksternal, hakim menegaskan adanya upaya sistematis untuk memastikan bahwa hak-hak para pihak tetap terlindungi, sesuai dengan prinsip keadilan dan hak asasi manusia.</w:t>
      </w:r>
    </w:p>
    <w:p w14:paraId="44CFC909" w14:textId="77777777" w:rsidR="00314325" w:rsidRDefault="00314325" w:rsidP="00314325">
      <w:pPr>
        <w:widowControl w:val="0"/>
        <w:spacing w:line="480" w:lineRule="auto"/>
        <w:ind w:firstLine="720"/>
        <w:jc w:val="both"/>
      </w:pPr>
      <w:r>
        <w:t>Fokus pada pengawasan internal yang dilakukan oleh majelis hakim menunjukkan adanya mekanisme pengawasan internal yang terstruktur dan berkelanjutan. Sistem ini berfungsi sebagai alat kontrol internal untuk memastikan bahwa proses peradilan dijalankan sesuai ketentuan hukum dan prinsip perlindungan hak asasi.</w:t>
      </w:r>
    </w:p>
    <w:p w14:paraId="72602FF0" w14:textId="77777777" w:rsidR="00314325" w:rsidRDefault="00314325" w:rsidP="00314325">
      <w:pPr>
        <w:widowControl w:val="0"/>
        <w:spacing w:line="480" w:lineRule="auto"/>
        <w:ind w:firstLine="720"/>
        <w:jc w:val="both"/>
      </w:pPr>
      <w:r>
        <w:t>Namun, peneliti perlu menyoroti bahwa jawaban ini belum menjelaskan secara rinci bagaimana mekanisme tersebut diimplementasikan, indikator keberhasilannya, serta pengawasan eksternal yang dilakukan. Data mengenai efektivitas pengawasan tersebut, termasuk laporan, audit, atau evaluasi independen, akan sangat diperlukan untuk menilai tingkat keberhasilannya dalam melindungi hak-hak hukum para pihak.</w:t>
      </w:r>
    </w:p>
    <w:p w14:paraId="6F1C09F0" w14:textId="77777777" w:rsidR="00314325" w:rsidRDefault="00314325" w:rsidP="00314325">
      <w:pPr>
        <w:widowControl w:val="0"/>
        <w:spacing w:line="480" w:lineRule="auto"/>
        <w:ind w:firstLine="720"/>
        <w:jc w:val="both"/>
      </w:pPr>
      <w:r>
        <w:t>Secara umum, jawaban ini mencerminkan niat baik dan kedewasaan institusional dalam upaya perlindungan hak asasi, tetapi perlu adanya penjelasan lebih mendalam terkait mekanisme dan keberlanjutan pengawasan yang dilakukan.</w:t>
      </w:r>
    </w:p>
    <w:p w14:paraId="21B630DA" w14:textId="77777777" w:rsidR="00314325" w:rsidRDefault="00314325" w:rsidP="00314325">
      <w:pPr>
        <w:widowControl w:val="0"/>
        <w:spacing w:line="480" w:lineRule="auto"/>
        <w:ind w:firstLine="720"/>
        <w:jc w:val="both"/>
      </w:pPr>
      <w:r>
        <w:t>Berdasarkan hasil penelitian dan pembahasan di atas dapat disimpulkan bahwa</w:t>
      </w:r>
      <w:r w:rsidRPr="00BB04E2">
        <w:t xml:space="preserve"> </w:t>
      </w:r>
      <w:r w:rsidRPr="00FD4665">
        <w:t xml:space="preserve">proses penegakan hukum </w:t>
      </w:r>
      <w:r>
        <w:t xml:space="preserve">berdasarkan </w:t>
      </w:r>
      <w:r w:rsidRPr="00FD4665">
        <w:t>aspek-aspek perlindungan Hak Asasi Manusia selama tahap penyidikan, penuntutan, dan persidangan</w:t>
      </w:r>
      <w:r>
        <w:t xml:space="preserve"> dalam </w:t>
      </w:r>
      <w:r w:rsidRPr="00FD4665">
        <w:t>Putusan Nomor 2036/Pid.Sus/2025/PN Mdn</w:t>
      </w:r>
      <w:r>
        <w:t xml:space="preserve"> sudah berjalan dengan baik dan transparan meskipun terdapat kekurangan</w:t>
      </w:r>
      <w:r w:rsidRPr="00AA1730">
        <w:t xml:space="preserve"> Namun demikian, masih terdapat beberapa </w:t>
      </w:r>
      <w:r w:rsidRPr="00AA1730">
        <w:lastRenderedPageBreak/>
        <w:t>kekurangan yang perlu diperhatikan dan diperbaiki untuk memastikan perlindungan hak asasi manusia yang lebih optimal di masa mendatang.</w:t>
      </w:r>
    </w:p>
    <w:p w14:paraId="657CEDFD" w14:textId="77777777" w:rsidR="00314325" w:rsidRDefault="00314325" w:rsidP="00314325">
      <w:pPr>
        <w:pStyle w:val="ListParagraph"/>
        <w:numPr>
          <w:ilvl w:val="0"/>
          <w:numId w:val="48"/>
        </w:numPr>
        <w:ind w:hanging="720"/>
        <w:jc w:val="both"/>
        <w:rPr>
          <w:b/>
        </w:rPr>
      </w:pPr>
      <w:r w:rsidRPr="00BB04E2">
        <w:rPr>
          <w:b/>
        </w:rPr>
        <w:t xml:space="preserve">Pertimbangan Hakim Terkait Perlindungan Hak Asasi Tersangka, Terutama Hak Atas Pembelaan </w:t>
      </w:r>
      <w:r>
        <w:rPr>
          <w:b/>
        </w:rPr>
        <w:t>d</w:t>
      </w:r>
      <w:r w:rsidRPr="00BB04E2">
        <w:rPr>
          <w:b/>
        </w:rPr>
        <w:t xml:space="preserve">an Hak Hidup </w:t>
      </w:r>
      <w:r>
        <w:rPr>
          <w:b/>
        </w:rPr>
        <w:t>d</w:t>
      </w:r>
      <w:r w:rsidRPr="00BB04E2">
        <w:rPr>
          <w:b/>
        </w:rPr>
        <w:t>alam Putusan Nomor 2036/Pid.Sus/2025/PN Mdn</w:t>
      </w:r>
    </w:p>
    <w:p w14:paraId="04C2F81A" w14:textId="77777777" w:rsidR="00314325" w:rsidRPr="00BB04E2" w:rsidRDefault="00314325" w:rsidP="00314325">
      <w:pPr>
        <w:pStyle w:val="ListParagraph"/>
        <w:jc w:val="both"/>
        <w:rPr>
          <w:b/>
        </w:rPr>
      </w:pPr>
    </w:p>
    <w:p w14:paraId="46B4B438" w14:textId="77777777" w:rsidR="00314325" w:rsidRDefault="00314325" w:rsidP="00314325">
      <w:pPr>
        <w:widowControl w:val="0"/>
        <w:spacing w:line="480" w:lineRule="auto"/>
        <w:ind w:firstLine="720"/>
        <w:jc w:val="both"/>
      </w:pPr>
      <w:r>
        <w:t xml:space="preserve">Pembahasan mengenai pertimbangan hakim terkait perlindungan hak asasi tersangka, terutama hak atas pembelaan dan hak hidup dalam Putusan Nomor 2036/Pid.Sus/2025/PN Mdn, sangat penting karena menjamin Perlindungan Hak Asasi Tersangka: Hak atas pembelaan dan hak hidup merupakan hak asasi dasar yang harus dilindungi dalam proses peradilan pidana. Pembahasan ini memastikan bahwa hak-hak tersebut diperhatikan dan dipenuhi sesuai dengan ketentuan hukum dan prinsip keadilan. Dengan memperhatikan pertimbangan hakim yang mengutamakan hak tersangka, proses penegakan hukum tidak hanya berorientasi pada hasil, tetapi juga menghormati hak asasi manusia, menjaga keadilan substantif, dan mencegah penyalahgunaan kekuasaan. </w:t>
      </w:r>
    </w:p>
    <w:p w14:paraId="1D7299B8" w14:textId="77777777" w:rsidR="00314325" w:rsidRDefault="00314325" w:rsidP="00314325">
      <w:pPr>
        <w:widowControl w:val="0"/>
        <w:spacing w:line="480" w:lineRule="auto"/>
        <w:ind w:firstLine="720"/>
        <w:jc w:val="both"/>
      </w:pPr>
      <w:r>
        <w:t>Pembahasan ini membantu memastikan bahwa proses pengambilan keputusan hakim didasarkan pada pertimbangan yang adil dan sesuai prosedur, sehingga meningkatkan kepercayaan masyarakat terhadap sistem peradilan pidana. Analisis ini dapat menjadi acuan untuk perbaikan kebijakan dan praktik pengadilan dalam melindungi hak tersangka, khususnya hak atas pembelaan dan hak hidup, agar penegakan hukum berjalan sesuai prinsip hak asasi manusia. Dengan demikian, pembahasan ini sangat penting untuk memastikan bahwa proses peradilan tidak hanya efektif dalam menangani perkara pidana, tetapi juga menghormati dan melindungi hak asasi tersangka secara menyeluruh.</w:t>
      </w:r>
    </w:p>
    <w:p w14:paraId="507FE55C" w14:textId="77777777" w:rsidR="00314325" w:rsidRDefault="00314325" w:rsidP="00314325">
      <w:pPr>
        <w:widowControl w:val="0"/>
        <w:spacing w:line="480" w:lineRule="auto"/>
        <w:ind w:firstLine="720"/>
        <w:jc w:val="both"/>
      </w:pPr>
      <w:r>
        <w:lastRenderedPageBreak/>
        <w:t xml:space="preserve">Adapun pertimbangan </w:t>
      </w:r>
      <w:proofErr w:type="gramStart"/>
      <w:r>
        <w:t xml:space="preserve">hakim  </w:t>
      </w:r>
      <w:r w:rsidRPr="00FD4665">
        <w:t>terkait</w:t>
      </w:r>
      <w:proofErr w:type="gramEnd"/>
      <w:r w:rsidRPr="00FD4665">
        <w:t xml:space="preserve"> perlindungan hak asasi tersangka, terutama hak atas pembelaan dan hak hidup</w:t>
      </w:r>
      <w:r>
        <w:t xml:space="preserve"> dalam </w:t>
      </w:r>
      <w:r w:rsidRPr="00FD4665">
        <w:t>Putusan Nomor 2036/Pid.Sus/2025/PN Mdn</w:t>
      </w:r>
      <w:r>
        <w:t xml:space="preserve"> dapat diuraikan sebagai berikut.</w:t>
      </w:r>
    </w:p>
    <w:p w14:paraId="558ED921" w14:textId="77777777" w:rsidR="00314325" w:rsidRDefault="00314325" w:rsidP="00314325">
      <w:pPr>
        <w:widowControl w:val="0"/>
        <w:spacing w:line="480" w:lineRule="auto"/>
        <w:ind w:firstLine="720"/>
        <w:jc w:val="both"/>
      </w:pPr>
      <w:r>
        <w:t>Setelah dilakukan proses penuntutan terhadap terdakwa serta proses pembuktian maka didapatkanlah fakta-fakta hukum yang terungkap dipersidangan yang menjadi acuan dasar bagi hakim dalam melakukan pertimbangan hukumnya. Adapun fakta-fakta tersebut yaitu: bahwa benar Terdakwa telah ditangkap oleh petugas kepolisian pada hari Rabu tanggal 20 Agustus 2025 sekira pukul 18.00 Wib, di Jalan Kelambir 5 Gang Keluarga Lingkungan 2 Kelurahan Tanjung Gusta Kecamatan Medan Helvetia Kota Medan, karena tindak pidana narkotika. Awalnya Terdakwa sedang duduk-duduk dibangku belakang rumah orang sambil mengecak dan memindahkan narkotika jenis shabu yang akan dijual kepada pembeli, tiba-tiba datang beberapa petugas kepolisian melakukan penangkapan terhadap Terdakwa.</w:t>
      </w:r>
    </w:p>
    <w:p w14:paraId="642CB79B" w14:textId="77777777" w:rsidR="00314325" w:rsidRDefault="00314325" w:rsidP="00314325">
      <w:pPr>
        <w:widowControl w:val="0"/>
        <w:spacing w:line="480" w:lineRule="auto"/>
        <w:ind w:firstLine="720"/>
        <w:jc w:val="both"/>
      </w:pPr>
      <w:r>
        <w:t xml:space="preserve">Dari Terdakwa ditemukan barang bukti berupa </w:t>
      </w:r>
      <w:r w:rsidR="00944101">
        <w:t>1</w:t>
      </w:r>
      <w:r>
        <w:t xml:space="preserve"> buah plastik klip ukuran sedang yang berisikan Narkotika jenis shabu, </w:t>
      </w:r>
      <w:r w:rsidR="00944101">
        <w:t>1</w:t>
      </w:r>
      <w:r>
        <w:t xml:space="preserve"> buah plastik klip ukuran sedang yang berisikan </w:t>
      </w:r>
      <w:r w:rsidR="00944101">
        <w:t>4</w:t>
      </w:r>
      <w:r>
        <w:t xml:space="preserve"> buah plastik klip ukuran kecil yang berisikan Narkotika jenis shabu, </w:t>
      </w:r>
      <w:r w:rsidR="00944101">
        <w:t>1</w:t>
      </w:r>
      <w:r>
        <w:t xml:space="preserve"> buah plastik klip ukuran sedang yang berisikan </w:t>
      </w:r>
      <w:r w:rsidR="00944101">
        <w:t>8</w:t>
      </w:r>
      <w:r>
        <w:t xml:space="preserve"> plastik klip kosong, </w:t>
      </w:r>
      <w:r w:rsidR="00944101">
        <w:t>1</w:t>
      </w:r>
      <w:r>
        <w:t xml:space="preserve"> buah pipet plastik yang ujungnya runcing berbentuk skop bergagang kayu dan </w:t>
      </w:r>
      <w:r w:rsidR="00944101">
        <w:t>1</w:t>
      </w:r>
      <w:r>
        <w:t xml:space="preserve"> buah dompet kecil warna hitam yang ditemukan di atas meja, kemudian dilakukan penggeledahan terhadap badan Terdakwa dan ditemukan uang sebesar Rp75.000 di dalam kantong sebelah kanan celana yang digunakan Terdakwa merupakan uang hasil penjualan narkotika. Narkotika jenis shabu tersebut adalah milik Terdakwa yang dibeli dari Sdr. Totoy dengan harga </w:t>
      </w:r>
      <w:r w:rsidR="00944101">
        <w:t>1</w:t>
      </w:r>
      <w:r>
        <w:t xml:space="preserve"> ji/gram Rp600.000 dengan tujuan untuk dijual kembali kepada </w:t>
      </w:r>
      <w:r>
        <w:lastRenderedPageBreak/>
        <w:t>pembeli. Terdakwa tidak ada memiliki ijin dari pihak yang berwenang untuk menjual narkotika jenis shabu tersebut.</w:t>
      </w:r>
    </w:p>
    <w:p w14:paraId="228C8F60" w14:textId="77777777" w:rsidR="00314325" w:rsidRDefault="00314325" w:rsidP="00314325">
      <w:pPr>
        <w:widowControl w:val="0"/>
        <w:spacing w:line="480" w:lineRule="auto"/>
        <w:ind w:firstLine="720"/>
        <w:jc w:val="both"/>
      </w:pPr>
      <w:r>
        <w:t xml:space="preserve">Berdasarkan berita acara analisis penimbangan terhadap Barang bukti Narkotika jenis sabu milik terdakwa oleh Waka Kepala Laboratorium Forensik Polri Cabang Medan yang ditandatangani oleh apt. Debora M. Hutagaol, S.Si., M.Farm Nomor : 6159/NNF /2025, pada hari Senin tanggal 08 September 2025, </w:t>
      </w:r>
      <w:r w:rsidR="00944101">
        <w:t>5</w:t>
      </w:r>
      <w:r>
        <w:t xml:space="preserve"> plastik klip berisi Kristal putih dengan berat netto </w:t>
      </w:r>
      <w:r w:rsidR="00944101">
        <w:t>1,12</w:t>
      </w:r>
      <w:r>
        <w:t xml:space="preserve"> gram adalah positif Metamfetamina dan terdaftar dalam Golongan I (satu) nomor urut 61 Lampiran I Undang-Undang Republik Indonesia No. 35 Tahun 2009 tentang Narkotika.</w:t>
      </w:r>
    </w:p>
    <w:p w14:paraId="05651618" w14:textId="77777777" w:rsidR="00314325" w:rsidRDefault="00314325" w:rsidP="00314325">
      <w:pPr>
        <w:widowControl w:val="0"/>
        <w:spacing w:line="480" w:lineRule="auto"/>
        <w:ind w:firstLine="720"/>
        <w:jc w:val="both"/>
      </w:pPr>
      <w:r>
        <w:t>Selanjutnya Majelis Hakim akan mempertimbangkan apakah berdasarkan fakta-fakta hukum tersebut di atas, Terdakwa dapat dinyatakan telah melakukan tindak pidana yang didakwakan kepadanya. Menimbang bahwa Terdakwa telah didakwa oleh Penuntut Umum dengan dakwaan yang berbentuk subsideritas, yaitu Primair melanggar Pasal 114 ayat (1) Undang-Undang Republik Indonesia Nomor 35 Tahun 2009 tentang Narkotika, Subsidair Pasal 112 ayat (1) Undang-Undang Republik Indonesia Nomor 35 Tahun 2009 tentang Narkotika. Menimbang bahwa oleh karena Terdakwa telah didakwa oleh Penuntut Umum dengan dakwaan yang berbentuk subsideritas maka Majelis Hakim akan mempertimbangkan terlebih dahulu dakwaan Primair apabila dakwaan Primair tidak terbukti maka selanjutnya akan dibuktikan dakwaan Subsidair, akan tetapi apabila dakwaan Primair telah terbukti maka dakwaan Subsidair tidak perlu dipertimbangkan lagi dan demikian untuk seterusnya.</w:t>
      </w:r>
    </w:p>
    <w:p w14:paraId="120D3D63" w14:textId="77777777" w:rsidR="00314325" w:rsidRDefault="00314325" w:rsidP="00314325">
      <w:pPr>
        <w:widowControl w:val="0"/>
        <w:spacing w:line="480" w:lineRule="auto"/>
        <w:ind w:firstLine="720"/>
        <w:jc w:val="both"/>
      </w:pPr>
      <w:r>
        <w:t xml:space="preserve">bahwa dakwaan Primair Penuntut Umum melanggar Pasal 114 ayat (1) </w:t>
      </w:r>
      <w:r>
        <w:lastRenderedPageBreak/>
        <w:t xml:space="preserve">Undang-Undang Republik Indonesia Nomor 35 Tahun 2009 tentang Narkotika, yang unsur-unsurnya adalah 1. Setiap orang; 2. Tanpa hak atau melawan hukum; 3. Menawarkan untuk dijual, menjual, membeli, menerima, menjadi perantara dalam jual beli, menukar atau menyerahkan Narkotika Golongan I bukan Tanaman. Terhadap unsur-unsur tersebut Majelis Hakim mempertimbangkan sebagai berikut: </w:t>
      </w:r>
    </w:p>
    <w:p w14:paraId="20F8A7F4" w14:textId="77777777" w:rsidR="00314325" w:rsidRPr="009E06D2" w:rsidRDefault="00314325" w:rsidP="00314325">
      <w:pPr>
        <w:pStyle w:val="ListParagraph"/>
        <w:widowControl w:val="0"/>
        <w:numPr>
          <w:ilvl w:val="0"/>
          <w:numId w:val="47"/>
        </w:numPr>
        <w:spacing w:line="480" w:lineRule="auto"/>
        <w:ind w:left="720"/>
        <w:jc w:val="both"/>
        <w:rPr>
          <w:b/>
        </w:rPr>
      </w:pPr>
      <w:r>
        <w:rPr>
          <w:b/>
        </w:rPr>
        <w:t>Unsur setiap orang</w:t>
      </w:r>
    </w:p>
    <w:p w14:paraId="7E4FFCD3" w14:textId="77777777" w:rsidR="00314325" w:rsidRDefault="00314325" w:rsidP="00314325">
      <w:pPr>
        <w:widowControl w:val="0"/>
        <w:spacing w:line="480" w:lineRule="auto"/>
        <w:ind w:firstLine="720"/>
        <w:jc w:val="both"/>
      </w:pPr>
      <w:r>
        <w:t>Menimbang bahwa yang dimaksud dengan “Setiap Orang” adalah orang atau manusia sebagai subyek hukum yang mampu bertanggungjawab dan dapat dimintakan pertanggungjawabannya atas perbuatan yang telah dilakukannya. Definisi yang diajukan oleh Prof. Van Hamel mengenai istilah “dapat dimintakan pertanggungjawaban” menurut hukum pidana (</w:t>
      </w:r>
      <w:r w:rsidRPr="009E06D2">
        <w:rPr>
          <w:i/>
        </w:rPr>
        <w:t>toerekeningssvatbaarheid</w:t>
      </w:r>
      <w:r>
        <w:t xml:space="preserve">), adalah kemampuan untuk bertanggung jawab (secara hukum) yaitu suatu kondisi kematangan dan kenormalan psikis yang mencakup tiga kemampuan lainnya, yakni (1) memahami arah tujuan faktual dari tindakan sendiri; (2) kesadaran bahwa tindakan tersebut secara sosial dilarang; (3) adanya kehendak bebas berkenaan dengan tindakan tersebut. Definisi tersebut dibuat dengan merujuk pada sejarah perundang-undangan, khususnya dari Memorie van Toelichting (MvT) yang menyatakan bahwa tidak ada pertanggungjawaban pidana kecuali bila tindak pidana tersebut dapat diperhitungkan pada pelaku, dan tidak ada perhitungan demikian bila tidak ditemukan adanya kebebasan pelaku untuk bertindak, kebebasan memilih untuk melakukan atau tidak melakukan apa yang dilarang atau justru diwajibkan oleh undang-undang, sehingga pelaku tidak menyadari bahwa tindakan tersebut dilarang </w:t>
      </w:r>
      <w:r>
        <w:lastRenderedPageBreak/>
        <w:t>dan tidak mampu memperhitungkan akibat dari tindakannya tersebut.</w:t>
      </w:r>
      <w:r>
        <w:rPr>
          <w:rStyle w:val="FootnoteReference"/>
        </w:rPr>
        <w:footnoteReference w:id="26"/>
      </w:r>
    </w:p>
    <w:p w14:paraId="5DA32BE7" w14:textId="77777777" w:rsidR="00314325" w:rsidRDefault="00314325" w:rsidP="00314325">
      <w:pPr>
        <w:widowControl w:val="0"/>
        <w:spacing w:line="480" w:lineRule="auto"/>
        <w:ind w:firstLine="720"/>
        <w:jc w:val="both"/>
      </w:pPr>
      <w:r>
        <w:t>Menimbang, bahwa Terdakwa Rahmad Hidayat membenarkan identitasnya sebagaimana yang tertuang dalam berkas perkara dan surat dakwaan. Terdakwa secara sadar menyatakan telah mengerti isi dakwaan, selain dari pada itu Terdakwa juga dapat mengikuti jalannya persidangan dengan baik. Menimbang bahwa secara obyektif Terdakwa Rahmad Hidayat dalam kedudukannya sebagai manusia atau subyek hukum dalam keadaan yang sehat jasmani dan rohani, di muka persidangan telah menunjukkan kecakapan dan kemampuannya terhadap hak dan kewajiban yang dimilikinya, sehingga kepadanya dapat dimintakan pertanggungjawaban. Menimbang bahwa berdasarkan pertimbangan diatas unsur setiap orang menurut Majelis Hakim telah terpenuhi.</w:t>
      </w:r>
    </w:p>
    <w:p w14:paraId="57D8237E" w14:textId="77777777" w:rsidR="00314325" w:rsidRDefault="00314325" w:rsidP="00314325">
      <w:pPr>
        <w:widowControl w:val="0"/>
        <w:spacing w:line="480" w:lineRule="auto"/>
        <w:ind w:firstLine="720"/>
        <w:jc w:val="both"/>
      </w:pPr>
      <w:r>
        <w:t>Menurut analisis peneliti, j</w:t>
      </w:r>
      <w:r w:rsidRPr="00826F54">
        <w:t>awaban hakim yang menyatakan bahwa Terdakwa Rahmad Hidayat dalam kedudukannya sebagai manusia atau subyek hukum dalam keadaan sehat jasmani dan rohani menunjukkan bahwa hakim telah mempertimbangkan aspek kesehatan fisik dan mental tersangka sebelum menetapkan pertanggungjawaban</w:t>
      </w:r>
      <w:r>
        <w:t xml:space="preserve"> pidana. Hal ini penting karena </w:t>
      </w:r>
      <w:r w:rsidRPr="00826F54">
        <w:t>Hakim menilai bahwa tersangka mampu memahami proses hukum dan bertanggung jawab atas perbuatannya, sesuai dengan ketentuan hukum pidana yang mengharuskan tersangka dalam keadaan sehat dan sadar akan perbuatannya.</w:t>
      </w:r>
      <w:r>
        <w:t xml:space="preserve"> </w:t>
      </w:r>
      <w:r w:rsidRPr="00826F54">
        <w:t>Pernyataan bahwa tersangka memenuhi unsur sebagai manusia yang sehat jasmani dan rohani menegaskan bahwa unsur subyektif mengenai keberadaan manusia sebagai subyek hukum telah terpenuhi, sehingga dapat dimintai pertanggungjawaban.</w:t>
      </w:r>
      <w:r>
        <w:t xml:space="preserve"> </w:t>
      </w:r>
      <w:r w:rsidRPr="00826F54">
        <w:t xml:space="preserve">Dengan menimbang bahwa tersangka mampu memahami hak </w:t>
      </w:r>
      <w:r w:rsidRPr="00826F54">
        <w:lastRenderedPageBreak/>
        <w:t>dan kewajibannya serta bertanggung jawab, hakim menunjukkan bahwa proses pengambilan keputusan dilakukan secara adil dan objektif berdasarkan fakta dan pertimbangan yang matang.</w:t>
      </w:r>
      <w:r>
        <w:t xml:space="preserve"> </w:t>
      </w:r>
      <w:r w:rsidRPr="00826F54">
        <w:t>Penilaian ini menjadi dasar bagi hakim untuk menyatakan bahwa unsur setiap orang menurut Majelis Hakim telah terpenuhi, sehingga memenuhi syarat untuk diadili dan dihukum sesuai ketentuan hukum.</w:t>
      </w:r>
    </w:p>
    <w:p w14:paraId="19D68C2A" w14:textId="77777777" w:rsidR="00314325" w:rsidRDefault="00314325" w:rsidP="00314325">
      <w:pPr>
        <w:widowControl w:val="0"/>
        <w:spacing w:line="480" w:lineRule="auto"/>
        <w:ind w:firstLine="720"/>
        <w:jc w:val="both"/>
      </w:pPr>
      <w:r w:rsidRPr="00826F54">
        <w:t>Secara keseluruhan, jawaban hakim ini menunjukkan bahwa prosedur penilaian terhadap kesehatan jasmani dan rohani tersangka dilakukan secara cermat dan sesuai dengan prinsip perlindungan hak asasi manusia sekaligus memastikan bahwa pertanggungjawaban hukum dapat dipertanggungjawabkan secara sah dan adil.</w:t>
      </w:r>
    </w:p>
    <w:p w14:paraId="56CBF69B" w14:textId="77777777" w:rsidR="00314325" w:rsidRPr="00826F54" w:rsidRDefault="00314325" w:rsidP="00314325">
      <w:pPr>
        <w:pStyle w:val="ListParagraph"/>
        <w:widowControl w:val="0"/>
        <w:numPr>
          <w:ilvl w:val="0"/>
          <w:numId w:val="47"/>
        </w:numPr>
        <w:spacing w:line="480" w:lineRule="auto"/>
        <w:ind w:left="720"/>
        <w:jc w:val="both"/>
        <w:rPr>
          <w:b/>
        </w:rPr>
      </w:pPr>
      <w:r w:rsidRPr="00826F54">
        <w:rPr>
          <w:b/>
        </w:rPr>
        <w:t>Unsu</w:t>
      </w:r>
      <w:r>
        <w:rPr>
          <w:b/>
        </w:rPr>
        <w:t>r tanpa hak atau melawan hukum</w:t>
      </w:r>
    </w:p>
    <w:p w14:paraId="69C07FDB" w14:textId="77777777" w:rsidR="00314325" w:rsidRDefault="00314325" w:rsidP="00314325">
      <w:pPr>
        <w:widowControl w:val="0"/>
        <w:spacing w:line="480" w:lineRule="auto"/>
        <w:ind w:firstLine="720"/>
        <w:jc w:val="both"/>
      </w:pPr>
      <w:r>
        <w:t xml:space="preserve">Menimbang bahwa yang diartikan Tanpa Hak atau melawan hukum adalah sama dengan tidak berkuasa atau tidak berhak atau tidak sah, berdasarkan ketentuan Pasal 12 Ayat (1) Undang-Undang Nomor 35 Tahun 2009 tentang Narkotika yang menyatakan bahwa Narkotika Golongan I dilarang diproduksi dan/atau digunakan dalam proses produksi, kecuali dalam jumlah yang sangat terbatas untuk kepentingan pengembangan ilmu pengetahuan dan teknologi, dan berdasarkan ketentuan Pasal 8 menyebutkan bahwa Narkotika Golongan I dilarang digunakan untuk kepentingan pelayanan kesehatan. Dalam jumlah terbatas, Narkotika Golongan I dapat digunakan untuk kepentingan pengembangan ilmu pengetahuan dan teknologi dan untuk reagensia diagnostik, serta reagensia laboratorium setelah mendapatkan persetujuan menteri atas rekomendasi Kepala Badan Pengawas Obat dan Makanan. Selain itu, untuk dapat memperoleh, menyimpan dan menggunakan narkotika untuk kepentingan </w:t>
      </w:r>
      <w:r>
        <w:lastRenderedPageBreak/>
        <w:t>ilmu pengetahuan dan teknologi dapat diberikan kepada lembaga ilmu pengetahuan yang berupa lembaga pendidikan dan pelatihan serta penelitian dan pengembangan yang diselenggarakan oleh pemerintah ataupun swasta dengan mendapatkan izin menteri.</w:t>
      </w:r>
    </w:p>
    <w:p w14:paraId="18F5F5D0" w14:textId="77777777" w:rsidR="00314325" w:rsidRDefault="00314325" w:rsidP="00314325">
      <w:pPr>
        <w:widowControl w:val="0"/>
        <w:spacing w:line="480" w:lineRule="auto"/>
        <w:ind w:firstLine="720"/>
        <w:jc w:val="both"/>
      </w:pPr>
      <w:r>
        <w:t>Menimbang bahwa dalam perkara aquo, berdasarkan fakta-fakta yang terungkap dalam persidangan, Terdakwa bukanlah orang yang bekerja di lembaga yang telah mendapatkan izin dari menteri ataupun orang yang memiliki tugas dan tanggung jawab yang bekerja untuk kepentingan pengembangan ilmu pengetahuan dan teknologi yang telah mendapatkan izin dari menteri, sehingga perbuatan: menjual, menjadi perantara dalam jual beli atau menyerahkan narkotika golongan I yang mengandung metamfetamin yang merupakan Narkotika golongan I Nomor urut 61 lampiran I UndangUndang Republik Indonesia Nomor 35 tahun 2009 tentang Narkotika adalah merupakan perbuatan melawan hukum. Berdasarkan uraian tersebut di atas, maka unsur “Secara tanpa hak atau melawan hukum” telah terpenuhi dilakukan oleh Terdakwa.</w:t>
      </w:r>
    </w:p>
    <w:p w14:paraId="2EE3ECB4" w14:textId="77777777" w:rsidR="00314325" w:rsidRDefault="00314325" w:rsidP="00314325">
      <w:pPr>
        <w:widowControl w:val="0"/>
        <w:spacing w:line="480" w:lineRule="auto"/>
        <w:ind w:firstLine="720"/>
        <w:jc w:val="both"/>
      </w:pPr>
      <w:r>
        <w:t>Menurut analisis peneliti, j</w:t>
      </w:r>
      <w:r w:rsidRPr="001769E1">
        <w:t>awaban hakim yang menyatakan bahwa unsur “Secara tanpa hak atau melawan hukum” telah terpenuhi menunjukkan bahwa hakim telah melakukan penilaian terhadap aspek legalitas dan keabsahan perbuatan yang dilakukan oleh Terdakwa. Hakim menegaskan bahwa perbuatan Terdakwa dilakukan tanpa dasar hukum yang sah atau melawan ketentuan hukum yang berlaku. Hal ini sesuai dengan definisi tindak pidana yang memuat unsur “melawan hukum,” sebagai salah satu unsur unsur kejahatan.</w:t>
      </w:r>
      <w:r>
        <w:t xml:space="preserve"> </w:t>
      </w:r>
      <w:r w:rsidRPr="001769E1">
        <w:t xml:space="preserve">Pernyataan ini menunjukkan bahwa hakim telah menelusuri dan menilai bahwa perbuatan Terdakwa tidak didukung oleh hak yang sah </w:t>
      </w:r>
      <w:r w:rsidRPr="001769E1">
        <w:lastRenderedPageBreak/>
        <w:t>atau tidak memiliki izin yang sah, sehingga memenuhi unsur melawan hukum.</w:t>
      </w:r>
    </w:p>
    <w:p w14:paraId="78FC7B72" w14:textId="77777777" w:rsidR="00314325" w:rsidRDefault="00314325" w:rsidP="00314325">
      <w:pPr>
        <w:widowControl w:val="0"/>
        <w:spacing w:line="480" w:lineRule="auto"/>
        <w:ind w:firstLine="720"/>
        <w:jc w:val="both"/>
      </w:pPr>
      <w:r w:rsidRPr="001769E1">
        <w:t>Hakim harus memastikan bahwa tindakan Terdakwa tidak hanya faktual dilakukan, tetapi juga tidak dibenarkan secara hukum. Pernyataan ini mengindikasikan bahwa hakim yakin bahwa perbuatan tersebut memenuhi kriteria tersebut.</w:t>
      </w:r>
      <w:r>
        <w:t xml:space="preserve"> </w:t>
      </w:r>
      <w:r w:rsidRPr="001769E1">
        <w:t>Dengan terpenuhinya unsur ini, hakim memiliki dasar yuridis yang kuat untuk menyatakan bahwa perbuatan Terdakwa memenuhi salah satu unsur utama dalam pembuktian tindak pidana, sehingga dapat dijadikan dasar dalam menjatuhkan putusan pidana.</w:t>
      </w:r>
    </w:p>
    <w:p w14:paraId="0918BE40" w14:textId="77777777" w:rsidR="00314325" w:rsidRDefault="00314325" w:rsidP="00314325">
      <w:pPr>
        <w:widowControl w:val="0"/>
        <w:spacing w:line="480" w:lineRule="auto"/>
        <w:ind w:firstLine="720"/>
        <w:jc w:val="both"/>
      </w:pPr>
      <w:r>
        <w:t>Dengan demikian, j</w:t>
      </w:r>
      <w:r w:rsidRPr="001769E1">
        <w:t>awaban hakim ini menunjukkan bahwa proses penilaian terhadap aspek legalitas perbuatan Terdakwa dilakukan secara cermat dan sesuai dengan prinsip hukum. Pengakuan bahwa unsur “tanpa hak atau melawan hukum” terpenuhi memperkuat legitimasi dan keabsahan putusan pidana yang dijatuhkan terhadap Terdakwa.</w:t>
      </w:r>
    </w:p>
    <w:p w14:paraId="15475E37" w14:textId="77777777" w:rsidR="00314325" w:rsidRDefault="00314325" w:rsidP="00314325">
      <w:pPr>
        <w:pStyle w:val="ListParagraph"/>
        <w:widowControl w:val="0"/>
        <w:numPr>
          <w:ilvl w:val="0"/>
          <w:numId w:val="47"/>
        </w:numPr>
        <w:ind w:left="720"/>
        <w:jc w:val="both"/>
        <w:rPr>
          <w:b/>
        </w:rPr>
      </w:pPr>
      <w:r w:rsidRPr="004372C6">
        <w:rPr>
          <w:b/>
        </w:rPr>
        <w:t>Unsur menawarkan untuk dijual, menjual, membeli, menerima, menjadi perantara dalam jual beli, menukar atau menyerahkan Nark</w:t>
      </w:r>
      <w:r>
        <w:rPr>
          <w:b/>
        </w:rPr>
        <w:t>otika Golongan I bukan Tanaman</w:t>
      </w:r>
    </w:p>
    <w:p w14:paraId="6DF629F6" w14:textId="77777777" w:rsidR="00314325" w:rsidRPr="004372C6" w:rsidRDefault="00314325" w:rsidP="00314325">
      <w:pPr>
        <w:pStyle w:val="ListParagraph"/>
        <w:widowControl w:val="0"/>
        <w:jc w:val="both"/>
        <w:rPr>
          <w:b/>
        </w:rPr>
      </w:pPr>
    </w:p>
    <w:p w14:paraId="17B4B53C" w14:textId="77777777" w:rsidR="00314325" w:rsidRDefault="00314325" w:rsidP="00314325">
      <w:pPr>
        <w:widowControl w:val="0"/>
        <w:spacing w:line="480" w:lineRule="auto"/>
        <w:ind w:firstLine="720"/>
        <w:jc w:val="both"/>
      </w:pPr>
      <w:r>
        <w:t xml:space="preserve">Menimbang bahwa unsur ini dirumuskan secara alternatif, artinya jika salah satu sub unsur sudah terpenuhi, maka secara keseluruhan unsur ini dianggap telah terbukti menurut hukum. Berdasarkan fakta hukum yang terungkap di persidangan bahwa Terdakwa telah ditangkap oleh petugas kepolisian pada hari Rabu tanggal 20 Agustus 2025 sekira pukul 18.00 Wib, di Jalan Kelambir 5 Gang Keluarga Lingkungan 2 Kelurahan Tanjung Gusta Kecamatan Medan Helvetia Kota Medan, karena tindak pidana narkotika. Awalnya Terdakwa sedang duduk-duduk dibangku belakang rumah orang di Jalan Kelambir 5 Gang Keluarga Lingkungan 2 Kelurahan </w:t>
      </w:r>
      <w:r>
        <w:lastRenderedPageBreak/>
        <w:t xml:space="preserve">Tanjung Gusta Kecamatan Medan Helvetia Kota Medan sambil mengecak dan memindahkan narkotika jenis shabu yang akan dijual kepada pembeli, tiba-tiba datang beberapa petugas kepolisian melakukan penangkapan terhadap Terdakwa dan dari Terdakwa ditemukan barang bukti berupa </w:t>
      </w:r>
      <w:r w:rsidR="00944101">
        <w:t>1</w:t>
      </w:r>
      <w:r>
        <w:t xml:space="preserve"> buah plastik klip ukuran sedang yang berisikan Narkotika jenis shabu, </w:t>
      </w:r>
      <w:r w:rsidR="00944101">
        <w:t>1</w:t>
      </w:r>
      <w:r>
        <w:t xml:space="preserve"> buah plastik klip ukuran sedang yang berisikan </w:t>
      </w:r>
      <w:r w:rsidR="00944101">
        <w:t>4</w:t>
      </w:r>
      <w:r>
        <w:t xml:space="preserve"> buah plastik klip ukuran kecil yang berisikan Narkotika jenis shabu, </w:t>
      </w:r>
      <w:r w:rsidR="00944101">
        <w:t>1</w:t>
      </w:r>
      <w:r>
        <w:t xml:space="preserve"> buah plastik klip ukuran sedang yang berisikan </w:t>
      </w:r>
      <w:r w:rsidR="00944101">
        <w:t>8</w:t>
      </w:r>
      <w:r>
        <w:t xml:space="preserve"> plastik klip kosong, </w:t>
      </w:r>
      <w:r w:rsidR="00944101">
        <w:t>1</w:t>
      </w:r>
      <w:r>
        <w:t xml:space="preserve"> buah pipet plastik yang ujungnya runcing berbentuk skop bergagang kayu dan </w:t>
      </w:r>
      <w:r w:rsidR="00944101">
        <w:t>1</w:t>
      </w:r>
      <w:r>
        <w:t xml:space="preserve"> buah dompet kecil warna hitam yang ditemukan di atas meja, kemudian dilakukan penggeledahan terhadap badan Terdakwa dan ditemukan uang sebesar Rp75.000 di dalam kantong sebelah kanan celana yang digunakan Terdakwa merupakan uang hasil penjualan narkotika.</w:t>
      </w:r>
    </w:p>
    <w:p w14:paraId="0A9983CF" w14:textId="77777777" w:rsidR="00314325" w:rsidRDefault="00314325" w:rsidP="00314325">
      <w:pPr>
        <w:widowControl w:val="0"/>
        <w:spacing w:line="480" w:lineRule="auto"/>
        <w:ind w:firstLine="720"/>
        <w:jc w:val="both"/>
      </w:pPr>
      <w:r>
        <w:t xml:space="preserve">Menimbang bahwa narkotika jenis shabu tersebut adalah milik Terdakwa yang dibeli dari Sdr. Totoy dengan harga </w:t>
      </w:r>
      <w:r w:rsidR="00944101">
        <w:t>1</w:t>
      </w:r>
      <w:r>
        <w:t xml:space="preserve"> ji/gram Rp600.000 dengan tujuan untuk dijual kembali kepada pembeli dan Terdakwa tidak ada memiliki ijin dari pihak yang berwenang untuk menjual narkotika jenis shabu tersebut. Berdasarkan berita acara analisis penimbangan terhadap Barang bukti Narkotika jenis sabu milik terdakwa oleh Waka Kepala Laboratorium Forensik Polri Cabang Medan yang ditandatangani oleh apt. Debora M. Hutagaol, S.Si., M.Farm Nomor : 6159/NNF /2025, pada hari Senin tanggal 08 September 2025, </w:t>
      </w:r>
      <w:r w:rsidR="00944101">
        <w:t>5</w:t>
      </w:r>
      <w:r>
        <w:t xml:space="preserve"> plastik klip berisi Kristal putih dengan berat netto </w:t>
      </w:r>
      <w:r w:rsidR="00944101">
        <w:t>1,12</w:t>
      </w:r>
      <w:r>
        <w:t xml:space="preserve"> gram adalah positif Metamfetamina dan terdaftar dalam Golongan I (satu) nomor urut 61 Lampiran I Undang-Undang Republik Indonesia No. 35 Tahun 2009 tentang Narkotika. Dengan demikian unsur ketiga tersebut telah terpenuhi oleh perbuatan Terdakwa.</w:t>
      </w:r>
    </w:p>
    <w:p w14:paraId="3E625AD7" w14:textId="77777777" w:rsidR="00314325" w:rsidRDefault="00314325" w:rsidP="00314325">
      <w:pPr>
        <w:widowControl w:val="0"/>
        <w:spacing w:line="480" w:lineRule="auto"/>
        <w:ind w:firstLine="720"/>
        <w:jc w:val="both"/>
      </w:pPr>
      <w:r>
        <w:lastRenderedPageBreak/>
        <w:t>Menurut analisis peneliti, j</w:t>
      </w:r>
      <w:r w:rsidRPr="004372C6">
        <w:t>awaban hakim yang menyatakan bahwa unsur “menawarkan untuk dijual, menjual, membeli, menerima, menjadi perantara dalam jual beli, menukar, atau menyerahkan Narkotika Golongan I bukan Tanaman” telah terpenuhi menunjukkan bahwa hakim telah melakukan analisis mendalam terhadap fakta-fakta yang diajukan dalam persidangan.</w:t>
      </w:r>
      <w:r>
        <w:t xml:space="preserve"> </w:t>
      </w:r>
      <w:r w:rsidRPr="00725442">
        <w:t>Hakim menegaskan bahwa perbuatan Terdakwa meliputi salah satu atau beberapa unsur tersebut, yang merupakan bagian dari unsur-unsur kejahatan narkotika sesuai dengan ketentuan hukum pidana dan Undang-Undang Narkotika.</w:t>
      </w:r>
      <w:r>
        <w:t xml:space="preserve"> </w:t>
      </w:r>
      <w:r w:rsidRPr="00725442">
        <w:t>Pernyataan ini menunjukkan bahwa hakim telah memeriksa dan menilai bukti-bukti terkait perbuatan Terdakwa yang berkaitan dengan peredaran narkotika, termasuk tindakan menawarkan, menjual, membeli, atau menyerahkan narkotika golongan I bukan tanaman.</w:t>
      </w:r>
    </w:p>
    <w:p w14:paraId="5E43BE40" w14:textId="77777777" w:rsidR="00314325" w:rsidRDefault="00314325" w:rsidP="00314325">
      <w:pPr>
        <w:widowControl w:val="0"/>
        <w:spacing w:line="480" w:lineRule="auto"/>
        <w:ind w:firstLine="720"/>
        <w:jc w:val="both"/>
      </w:pPr>
      <w:r w:rsidRPr="00725442">
        <w:t>Unsur ini mencakup aspek objektif (perbuatan nyata) dan subyektif (niat atau kesadaran), dan jawaban hakim menegaskan bahwa unsur tersebut telah terpenuhi secara hukum, berdasarkan fakta yang terbukti di persidangan.</w:t>
      </w:r>
      <w:r>
        <w:t xml:space="preserve"> </w:t>
      </w:r>
      <w:r w:rsidRPr="00725442">
        <w:t>Pernyataan ini memperkuat dasar hukum untuk menjatuhkan hukuman, karena memenuhi unsur materiil dari tindak pidana narkotika sebagaimana diatur dalam undang-undang terkait.</w:t>
      </w:r>
      <w:r>
        <w:t xml:space="preserve"> </w:t>
      </w:r>
      <w:r w:rsidRPr="00725442">
        <w:t>Jawaban hakim ini menunjukkan bahwa proses penilaian terhadap bukti-bukti yang berkaitan dengan perbuatan peredaran narkotika telah dilakukan secara cermat dan objektif. Pemenuhan unsur ini menjadi landasan utama dalam menentukan bahwa Terdakwa dapat dipertanggungjawabkan secara pidana atas perbuatannya. Hal ini sekaligus menegaskan bahwa proses pemeriksaan telah memenuhi ketentuan hukum yang berlaku terkait tindak pidana narkotika.</w:t>
      </w:r>
    </w:p>
    <w:p w14:paraId="67E6766A" w14:textId="77777777" w:rsidR="00314325" w:rsidRDefault="00314325" w:rsidP="00314325">
      <w:pPr>
        <w:widowControl w:val="0"/>
        <w:spacing w:line="480" w:lineRule="auto"/>
        <w:ind w:firstLine="720"/>
        <w:jc w:val="both"/>
      </w:pPr>
      <w:r>
        <w:t>Menimbang bahwa oleh karena semua unsur dari Pasal 114 ayat (1) Undang-</w:t>
      </w:r>
      <w:r>
        <w:lastRenderedPageBreak/>
        <w:t>Undang Republik Indonesia Nomor 35 Tahun 2009 tentang Narkotika telah terpenuhi, maka Terdakwa haruslah dinyatakan telah terbukti secara sah dan meyakinkan melakukan tindak pidana sebagaimana diatur dalam Pasal 114 ayat (1) UU RI No.35 Tahun 2009 tentang Narkotika saat ini dalam proses peradilannya telah diberlakukan dan diterapkan substansi keberlakuan UU Nomor 1 Tahun 2023 Tentang Kitab Undang-Undang Hukum Pidana (KUHP) serta UU Nomor 1 Tahun 2026 Tentang Penyesuaian Pidana dan di dalam ketentuan pada Pasal 618 KUHP 2023 telah menyebutkan bahwa pada saat Undang-Undang ini mulai berlaku, Tindak Pidana yang sedang dalam proses peradilan menggunakan ketentuan undang-undang ini, kecuali undang-undang yang mengatur Tindak Pidana tersebut lebih menguntungkan bagi Tersangka atau Terdakwa.</w:t>
      </w:r>
    </w:p>
    <w:p w14:paraId="0F59A032" w14:textId="77777777" w:rsidR="00314325" w:rsidRDefault="00314325" w:rsidP="00314325">
      <w:pPr>
        <w:widowControl w:val="0"/>
        <w:spacing w:line="480" w:lineRule="auto"/>
        <w:ind w:firstLine="720"/>
        <w:jc w:val="both"/>
      </w:pPr>
      <w:r>
        <w:t>Menimbang bahwa dengan demikian meskipun Terdakwa telah terbukti melanggar pasal dalam dakwaan pertama Penuntut Umum tersebut, untuk mengetahui “menguntungkan” bagi Terdakwa prinsip dasarnya adalah membandingkan KUHP lama dengan KUHP tahun 2023 dari sisi lamanya ancaman pidana penjara, besaran ancaman pidana denda maupun perubahan jenis pidana perampasan kemerdekaan fisik menjadi bentuk pidana lain seperti tutupan, pengawasan, denda dan/atau kerja sosial. Bahwa pada Bab I Pasal I ayat (1) UU Nomor 1 Tahun 2026 Tentang Penyesuaian Pidana, menyebutkan dalam hal Undang-Undang diluar Undang-Undang Nomor 1 Tahun 2023 Tentang Kitab Undang-Undang Hukum Pidana memuat ancaman pidana minimum khusus, ketentuan ancaman pidana minimum khusus dihapus dan Pasal II ayat (5) huruf (a) menyebutkan ketentuan pidana dalam Undang-Undang selain Undang-Undang Nomor 1 Tahun 2023 Tentang Kitab Undang-</w:t>
      </w:r>
      <w:r>
        <w:lastRenderedPageBreak/>
        <w:t>Undang Hukum Pidana yang memuat ancaman pidana penjara dan pidana denda secara bersamaan, pidana denda diubah dengan ketentuan, (a). Pidana penjara diancam secara kumulatif dengan pidana denda, ancaman pidana diubah menjadi kumulatif alternatif.</w:t>
      </w:r>
    </w:p>
    <w:p w14:paraId="7C634FEA" w14:textId="77777777" w:rsidR="00314325" w:rsidRDefault="00314325" w:rsidP="00314325">
      <w:pPr>
        <w:widowControl w:val="0"/>
        <w:spacing w:line="480" w:lineRule="auto"/>
        <w:ind w:firstLine="720"/>
        <w:jc w:val="both"/>
      </w:pPr>
      <w:r>
        <w:t xml:space="preserve">Menimbang bahwa terhadap ketentuan Pasal 114 ayat (1) UU RI No. 35 tahun 2009 tentang Narkotika, melalui Undang-Undang Nomor 1 Tahun 2026 Tentang Penyesuaian Pidana dalam Bab I Pasal I ayat (1) dan Pasal II ayat (5) huruf (a) itu telah disesuaikan terhadap ancaman pidananya sebagaimana tersebut dalam lampiran II Undang-undang Republik Indonesia Nomor 1 Tahun 2026 Tentang Penyesuaian Pidana sehingga yang ancaman pidana terhadap Pasal 114 ayat (1) UU RI No. 35 tahun 2009 tentang Narkotika semula dengan ancaman pidana penjara seumur hidup atau pidana penjara paling singkat </w:t>
      </w:r>
      <w:r w:rsidR="00944101">
        <w:t>5</w:t>
      </w:r>
      <w:r>
        <w:t xml:space="preserve"> tahun dan paling lama 20 (dua puluh) tahun dan pidana denda paling sedikit Rp1.000.000.000 dan paling banyak Rp10.000.000.000, disesuaikan menjadi dipidana dengan pidana penjara seumur hidup atau pidana penjara paling lama 20 (dua puluh) tahun dan/atau pidana denda paling banyak kategori VI.</w:t>
      </w:r>
    </w:p>
    <w:p w14:paraId="08FDB53A" w14:textId="77777777" w:rsidR="00314325" w:rsidRDefault="00314325" w:rsidP="00314325">
      <w:pPr>
        <w:widowControl w:val="0"/>
        <w:spacing w:line="480" w:lineRule="auto"/>
        <w:ind w:firstLine="720"/>
        <w:jc w:val="both"/>
      </w:pPr>
      <w:r>
        <w:t xml:space="preserve">Menimbang bahwa oleh karena sebagaimana ketentuan Undang-Undang Nomor 1 Tahun 2026 Tentang Penyesuaian Pidana beserta Lampiran II tersebut, selain Pidana Penjara menurut ketentuan Penyesuaian Pidana itu Majelis Hakim dapat juga menjatuhkan pidana denda terhadap Terdakwa maka terhadap Terdakwa akan dikenakan pula pidana denda yang besarnya sebagaimana telah ditentukan dalam Lampiran II Undang-Undang Nomor 1 Tahun 2026 Tentang Penyesuaian Pidana khusus untuk Pasal 114 ayat (1) UU RI No. 35 tahun 2009 tentang Narkotika yang </w:t>
      </w:r>
      <w:r>
        <w:lastRenderedPageBreak/>
        <w:t>bila diterapkan terhadap Terdakwa besarnya denda tersebut sebagaimana disebutkan amar putusan dengan mengacu kepada ketentuan Pasal 79 ayat (1) Undang-Undang Nomor 1 Tahun 2023 Tentang Kitab Undang-undang Hukum Pidana.</w:t>
      </w:r>
    </w:p>
    <w:p w14:paraId="081E373C" w14:textId="77777777" w:rsidR="00314325" w:rsidRDefault="00314325" w:rsidP="00314325">
      <w:pPr>
        <w:widowControl w:val="0"/>
        <w:spacing w:line="480" w:lineRule="auto"/>
        <w:ind w:firstLine="720"/>
        <w:jc w:val="both"/>
      </w:pPr>
      <w:r>
        <w:t>Menimbang bahwa selanjutnya terhadap pidana denda yang dijatuhkan kepada Terdakwa menurut ketentuan Pasal 81 ayat (1) dan ayat (3) Undang-Undang Nomor 1 Tahun 2023 Tentang Kitab Undang-Undang Hukum Pidana yang menyebutkan bahwa (1) Pidana denda wajib dibayar dalam jangka waktu tertentu yang dimuat dalam putusan pengadilan; (3). Jika pidana denda sebagaimana dimaksud pada ayat (1) tidak dibayar dalam jangka waktu yang telah ditentukan, kekayaan atau pendapatan terpidana dapat disita dan dilelang oleh jaksa untuk melunasi pidana denda yang tidak dibayar, oleh karenanya bila dikenakan terhadap Terdakwa tersebut sebagaimana dalam Penjelasan Pasal 81 Undang-undang Nomor 1 tahun 2023 Tentang Kitab Undang-undang Hukum Pidana yang menjelaskan untuk ketentuan Pasal 81 ini, dalam putusan pengadilan memuat waktu pelaksanaan pidana denda, cara pelaksanaan pidana denda, penyitaan dan lelang dan pidana pengganti pidana denda maka untuk kepastian hukum dan keadilan Majelis Hakim perlu menetapkan jangka waktu dan cara pembayaran pidana dengan yang terukur bagi Terdakwa untuk membayar pidana denda tersebut sebagaimana yang lamanya dan caranya akan disebutkan dalam amar putusan, serta bila tidak dibayar maka kekayaan atau pendapatan Terpidana dapat disita dan dilelang untuk melunasi pidana denda yang tidak dibayar tersebut.</w:t>
      </w:r>
    </w:p>
    <w:p w14:paraId="0A399F04" w14:textId="77777777" w:rsidR="00314325" w:rsidRDefault="00314325" w:rsidP="00314325">
      <w:pPr>
        <w:widowControl w:val="0"/>
        <w:spacing w:line="480" w:lineRule="auto"/>
        <w:ind w:firstLine="720"/>
        <w:jc w:val="both"/>
      </w:pPr>
      <w:r>
        <w:t xml:space="preserve">Menimbang bahwa kemudian apabila jika penyitaan dan pelelangan kekayaan atau pendapatan Terpidana untuk melunasi pidana denda yang tidak dibayar tersebut </w:t>
      </w:r>
      <w:r>
        <w:lastRenderedPageBreak/>
        <w:t>tidak cukup atau tidak memungkinkan untuk dilaksanakan maka sebagaimana ketentuan Pasal 82 ayat (1) Undang-undang Nomor 1 Tahun 2026 Tentang Penyesuaian Pidana, terhadap Terdakwa pidana denda yang tidak dibayar tersebut diganti dengan pidana penjara pengganti yang lamanya sebagaimana telah diatur dan ditentukan dalam Lampiran III Undang-undang Nomor 1 Tahun 2026 Tentang Penyesuaian Pidana dan akan disebutkan dalam amar putusan ini nantinya.</w:t>
      </w:r>
    </w:p>
    <w:p w14:paraId="5F9601FE" w14:textId="77777777" w:rsidR="00314325" w:rsidRDefault="00314325" w:rsidP="00314325">
      <w:pPr>
        <w:widowControl w:val="0"/>
        <w:spacing w:line="480" w:lineRule="auto"/>
        <w:ind w:firstLine="720"/>
        <w:jc w:val="both"/>
      </w:pPr>
      <w:r>
        <w:t>Menimbang bahwa berdasarkan pertimbangan tersebut di atas maka Majelis Hakim menilai ancaman pidana dalam ketentuan terbaru yang ada tersebut menguntungkan bagi Terdakwa dari ancaman pidana dalam ketentuan sebelumnya sehingga sebagaimana diatur oleh Pasal 618 Undangundang Nomor 1 Tahun 2023 Tentang Kitab Undang-Undang Hukum Pidana, Majelis Hakim menerapkan ketentuan tersebut terhadap Terdakwa.</w:t>
      </w:r>
    </w:p>
    <w:p w14:paraId="18D74731" w14:textId="77777777" w:rsidR="00314325" w:rsidRDefault="00314325" w:rsidP="00314325">
      <w:pPr>
        <w:widowControl w:val="0"/>
        <w:spacing w:line="480" w:lineRule="auto"/>
        <w:ind w:firstLine="720"/>
        <w:jc w:val="both"/>
      </w:pPr>
      <w:r>
        <w:t>Menimbang bahwa sebagaimana Pasal 361 huruf c Undang-undang Nomor 20 Tahun 2025 Tentang Kitab Undang-Undang Hukum Acara Pidana bahwasanya terhadap perkara tindak pidana yang sudah dilimpahkan ke pengadilan dan sudah dimulai proses pemeriksaannya tetap diperiksa, diadili dan diputus berdasarkan ketentuan dalam Undang-undang Nomor 8 Tahun 1981 Tentang Hukum Acara Pidana, maka terhadap perkara ini tetap berlaku Undang-Undang Nomor 8 Tahun 1981 Tentang Hukum Acara Pidana tersebut.</w:t>
      </w:r>
    </w:p>
    <w:p w14:paraId="15D2D515" w14:textId="77777777" w:rsidR="00314325" w:rsidRDefault="00314325" w:rsidP="00314325">
      <w:pPr>
        <w:widowControl w:val="0"/>
        <w:spacing w:line="480" w:lineRule="auto"/>
        <w:ind w:firstLine="720"/>
        <w:jc w:val="both"/>
      </w:pPr>
      <w:r>
        <w:t xml:space="preserve">Menimbang bahwa sepanjang pemeriksaan di persidangan tidak terbukti adanya faktor-faktor yang menghapuskan kesalahan Terdakwa yaitu berupa alasan-alasan pembenar atau alasan pemaaf dan tidak pula terdapat faktor-faktor yang menghapus sifat melawan hukum perbuatan Terdakwa, sehingga Terdakwa harus </w:t>
      </w:r>
      <w:r>
        <w:lastRenderedPageBreak/>
        <w:t>bertanggung jawab atas perbuatannya atau Terdakwa harus dijatuhi pidana.</w:t>
      </w:r>
    </w:p>
    <w:p w14:paraId="54453588" w14:textId="77777777" w:rsidR="00314325" w:rsidRDefault="00314325" w:rsidP="00314325">
      <w:pPr>
        <w:widowControl w:val="0"/>
        <w:spacing w:line="480" w:lineRule="auto"/>
        <w:ind w:firstLine="720"/>
        <w:jc w:val="both"/>
      </w:pPr>
      <w:r>
        <w:t xml:space="preserve">Menimbang bahwa sebelum menjatuhkan pidana kepada Terdakwa, perlu dipertimbangkan keadaan yang memberatkan maupun keadaan yang meringankan yang terdapat didalam maupun diluar diri Terdakwa sebagaimana telah ditentukan dalam Pasal 27 ayat (2) Undang-Undang </w:t>
      </w:r>
      <w:proofErr w:type="gramStart"/>
      <w:r>
        <w:t>Nomor :</w:t>
      </w:r>
      <w:proofErr w:type="gramEnd"/>
      <w:r>
        <w:t xml:space="preserve"> 14 Tahun 1970 jo Undang-Undang Nomor : 35 Tahun 1999 jo Undang-Undang Nomor : 4 Tahun 2004 jo Pasal 197 ayat (1) huruf f KUHAP. Adapun keadaan yang memberatkan </w:t>
      </w:r>
      <w:proofErr w:type="gramStart"/>
      <w:r>
        <w:t>yaitu  perbuatan</w:t>
      </w:r>
      <w:proofErr w:type="gramEnd"/>
      <w:r>
        <w:t xml:space="preserve"> Terdakwa tidak mendukung Program Pemerintah Republik Indonesia yang sedang giat-giatnya memberantas peredaran gelap Narkotika,  Terdakwa sudah pernah dihukum. Sedangkan keadaan yang meringankan yaitu Terdakwa mengakui secara terus terang perbuatannya dan menyesali perbuatannya serta berjanji tidak akan mengulangi perbuatannya. </w:t>
      </w:r>
    </w:p>
    <w:p w14:paraId="7E23975E" w14:textId="77777777" w:rsidR="00314325" w:rsidRDefault="00314325" w:rsidP="00314325">
      <w:pPr>
        <w:widowControl w:val="0"/>
        <w:spacing w:line="480" w:lineRule="auto"/>
        <w:ind w:firstLine="720"/>
        <w:jc w:val="both"/>
      </w:pPr>
      <w:r>
        <w:t xml:space="preserve">Menimbang bahwa setelah memperhatikan keadaan yang memberatkan dan yang meringankan pidana terhadap Terdakwa dan pedoman pemidanaan sebagaimana ditentukan dalam Pasal 54 ayat (1) KUHP 2023, Majelis Hakim berpendapat bahwa pidana yang dijatuhkan kepada Terdakwa sebagaimana yang ditentukan dalam amar putusan di bawah ini, dipandang adil dan patut sebagai hukuman atas kesalahannya. Memperhatikan Pasal 114 Ayat (1) Undang-Undang RI Nomor 35 tahun 2009 Tentang Narkotika sebagaimana telah diubah dalam Lampiran II Undang-undang Nomor 1 tahun 2026 Tentang Penyesuaian Pidana, dan Undang-Undang Nomor 8 Tahun 1981 tentang Hukum Acara Pidana serta peraturan perundang-undangan lain yang bersangkutan, majelis hakim memutuskan bahwa Terdakwa Rahmad Hidayat terbukti secara sah dan meyakinkan bersalah melakukan tindak pidana “Tanpa hak </w:t>
      </w:r>
      <w:r>
        <w:lastRenderedPageBreak/>
        <w:t>menjual Narkotika Golongan I” dan menjatuhkan pidana terhadap Terdakwa oleh karena itu dengan pidana penjara selama 6 (enam) tahun dan pidana denda sejumlah Rp300.000.000 dengan ketentuan pidana denda tersebut wajib dibayar dalam jangka waktu paling lama 2 (dua) tahun dan 6 (enam) bulan sejak putusan telah berkekuatan hukum tetap. Jika pidana denda tersebut tidak dibayar dalam jangka waktu yang telah ditentukan, maka harta kekayaan atau pendapatan Terpidana disita dan dilelang oleh Jaksa untuk melunasi pidana denda tersebut, dan jika penyitaan dan pelelangan harta kekayaan atau pendapatan Terpidana tidak cukup atau tidak memungkinkan untuk dilaksanakan, pidana denda yang tidak dibayar itu diganti dengan pidana penjara selama 100 (seratus) hari dengan ketentuan besarnya denda yang dibayarkan mengurangi pidana penjara pengganti secara proporsional.</w:t>
      </w:r>
    </w:p>
    <w:p w14:paraId="3672DFBE" w14:textId="77777777" w:rsidR="00314325" w:rsidRDefault="00314325" w:rsidP="00314325">
      <w:pPr>
        <w:widowControl w:val="0"/>
        <w:spacing w:line="480" w:lineRule="auto"/>
        <w:ind w:firstLine="720"/>
        <w:jc w:val="both"/>
      </w:pPr>
      <w:r>
        <w:t>Berdasarkan pertimbangan hukum di atas, menurut peneliti h</w:t>
      </w:r>
      <w:r w:rsidRPr="00C54DB2">
        <w:t>akim telah mempertimbangkan hak tersangka untuk mendapatkan pembelaan yang adil. Hal ini terlihat dari penjelasan hakim bahwa tersangka telah mendapatkan kesempatan untuk meminta bantuan dari pengacara dan mempertahankan diri dalam proses persidangan.</w:t>
      </w:r>
      <w:r>
        <w:t xml:space="preserve"> </w:t>
      </w:r>
      <w:r w:rsidRPr="00C54DB2">
        <w:t>Hakim juga telah mempertimbangkan hak tersangka untuk mendapatkan informasi tentang kasusnya. Hal ini terlihat dari penjelasan hakim bahwa tersangka telah mendapatkan informasi tentang dalil dan bukti yang digunakan dalam persidangan.</w:t>
      </w:r>
      <w:r>
        <w:t xml:space="preserve"> </w:t>
      </w:r>
      <w:r w:rsidRPr="00C54DB2">
        <w:t>akim telah mempertimbangkan hak hidup tersangka dan telah mengambil langkah-langkah untuk melindungi hak ini. Hal ini terlihat dari penjelasan hakim bahwa tersangka tidak akan menjalani hukuman penjara sebelum putusan final.</w:t>
      </w:r>
      <w:r>
        <w:t xml:space="preserve"> </w:t>
      </w:r>
      <w:r w:rsidRPr="00C54DB2">
        <w:t xml:space="preserve">Hakim telah menunjukkan komitmen untuk meningkatkan kualitas hukum dengan mempertimbangkan hak asasi tersangka dalam putusan. Hal ini terlihat dari </w:t>
      </w:r>
      <w:r w:rsidRPr="00C54DB2">
        <w:lastRenderedPageBreak/>
        <w:t>penjelasan hakim bahwa putusan ini merupakan contoh dari komitmen untuk melindungi hak asasi manusia.</w:t>
      </w:r>
    </w:p>
    <w:p w14:paraId="6FFE59C2"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0BC64A3C" w14:textId="77777777" w:rsidR="00314325" w:rsidRDefault="00314325" w:rsidP="00314325">
      <w:pPr>
        <w:widowControl w:val="0"/>
        <w:ind w:left="720"/>
        <w:jc w:val="both"/>
      </w:pPr>
      <w:r>
        <w:t>B</w:t>
      </w:r>
      <w:r w:rsidRPr="00CC4DA7">
        <w:t>ahwa dalam proses peradilan, hak atas pembelaan adalah hak asasi yang sangat penting untuk dijaga. Hakim memastikan bahwa tersangka memiliki kesempatan yang adil untuk memberikan alibi dan membela diri sendiri. Hakim juga memastikan bahwa tersangka memiliki akses ke informasi yang relevan dan dapat memilih advokat yang tepat untuk membantu membela dirinya.</w:t>
      </w:r>
      <w:r>
        <w:t xml:space="preserve"> H</w:t>
      </w:r>
      <w:r w:rsidRPr="00CC4DA7">
        <w:t>ak hidup adalah hak asasi yang tidak dapat dipungkiri. Hakim memastikan bahwa proses peradilan tidak menyebabkan terjadinya penyiksaan, penderitaan, atau kesan sengaja menghambat hak-hak asasi tersangka. Hakim juga memastikan bahwa tersangka memiliki akses ke perawatan medis yang memadai dan dapat memilih untuk mengikuti proses peradilan dengan bebas.</w:t>
      </w:r>
      <w:r>
        <w:t xml:space="preserve"> D</w:t>
      </w:r>
      <w:r w:rsidRPr="00CC4DA7">
        <w:t>alam proses peradilan, hakim memiliki tanggung jawab untuk memastikan bahwa hak asasi tersangka terlindungi. Hakim melakukan pengawasan yang ketat terhadap jalannya proses peradilan dan memastikan bahwa semua hak asasi yang relevan terpenuhi.</w:t>
      </w:r>
      <w:r>
        <w:t xml:space="preserve"> </w:t>
      </w:r>
      <w:r w:rsidRPr="00CC4DA7">
        <w:t>Proses peradilan harus berdasarkan prinsip pengadilan yang adil. Hakim memastikan bahwa proses peradilan berlangsung dengan transparan, akuntabel, dan tidak ada diskriminasi.</w:t>
      </w:r>
      <w:r>
        <w:rPr>
          <w:rStyle w:val="FootnoteReference"/>
        </w:rPr>
        <w:footnoteReference w:id="27"/>
      </w:r>
    </w:p>
    <w:p w14:paraId="511AA2DB" w14:textId="77777777" w:rsidR="00314325" w:rsidRDefault="00314325" w:rsidP="00314325">
      <w:pPr>
        <w:widowControl w:val="0"/>
        <w:ind w:left="720"/>
        <w:jc w:val="both"/>
      </w:pPr>
    </w:p>
    <w:p w14:paraId="05E69B35"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7ADCE617" w14:textId="77777777" w:rsidR="00314325" w:rsidRDefault="00314325" w:rsidP="00314325">
      <w:pPr>
        <w:pStyle w:val="ListParagraph"/>
        <w:jc w:val="both"/>
      </w:pPr>
      <w:r w:rsidRPr="00447C70">
        <w:t>Pada saat proses peradilan, saya memastikan bahwa tersangka memiliki kesempatan yang adil untuk berbicara dan memberikan klarifikasi. Saya juga memastikan bahwa tersangka dibebaskan untuk memberikan penjelasan yang lengkap dan akurat tentang kejadian yang dialaminya</w:t>
      </w:r>
      <w:r>
        <w:t xml:space="preserve">. </w:t>
      </w:r>
      <w:r w:rsidRPr="00447C70">
        <w:t>Saya memastikan bahwa tersangka memiliki ketersediaan dokumen yang relevan, seperti bukti kejahatan, bukti alibi, dan lain-lain. Dokumen-dokumen ini sangat penting untuk membantu proses pembelaan dan membantu hakim untuk membuat keputusan yang adil</w:t>
      </w:r>
      <w:r>
        <w:t xml:space="preserve">. </w:t>
      </w:r>
      <w:r w:rsidRPr="00447C70">
        <w:t xml:space="preserve">Saya memastikan bahwa tersangka memiliki ketersediaan pembela yang dapat membantu dalam proses peradilan. Pembela ini dapat membantu tersangka dalam memberikan penjelasan, </w:t>
      </w:r>
      <w:r w:rsidRPr="00447C70">
        <w:lastRenderedPageBreak/>
        <w:t>mengidentifikasi kesalahan, dan membantu hakim untuk membuat keputusan yang adil</w:t>
      </w:r>
      <w:r>
        <w:t>.</w:t>
      </w:r>
      <w:r>
        <w:rPr>
          <w:rStyle w:val="FootnoteReference"/>
        </w:rPr>
        <w:footnoteReference w:id="28"/>
      </w:r>
    </w:p>
    <w:p w14:paraId="0773F626" w14:textId="77777777" w:rsidR="00314325" w:rsidRDefault="00314325" w:rsidP="00314325">
      <w:pPr>
        <w:pStyle w:val="ListParagraph"/>
        <w:jc w:val="both"/>
      </w:pPr>
    </w:p>
    <w:p w14:paraId="06B6B19A"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29C8115A" w14:textId="77777777" w:rsidR="00314325" w:rsidRDefault="00314325" w:rsidP="00314325">
      <w:pPr>
        <w:widowControl w:val="0"/>
        <w:ind w:left="720"/>
        <w:jc w:val="both"/>
      </w:pPr>
      <w:r w:rsidRPr="00447C70">
        <w:t>Saya memastikan bahwa tersangka menerima pelayanan yang sesuai dengan standar peradilan, termasuk aspek kesehatan dan keamanan. Hal ini dilakukan untuk mencegah adanya gangguan fisik atau mental yang dapat mempengaruhi proses peradilan.</w:t>
      </w:r>
      <w:r>
        <w:t xml:space="preserve"> </w:t>
      </w:r>
      <w:r w:rsidRPr="00447C70">
        <w:t>Saya memastikan bahwa tersangka memiliki kesempatan yang adil untuk mengakui atau menyangkal tuduhan yang diajukan, serta memiliki kesempatan untuk memberikan klarifikasi atas tuduhan yang diajukan.</w:t>
      </w:r>
      <w:r>
        <w:t xml:space="preserve"> </w:t>
      </w:r>
      <w:r w:rsidRPr="00447C70">
        <w:t>Saya memastikan bahwa tersangka memiliki akses kepada dokter dan psikolog jika diperlukan, untuk memastikan bahwa tersangka dalam keadaan yang baik dan dapat berpartisipasi dalam proses peradilan.</w:t>
      </w:r>
      <w:r>
        <w:t xml:space="preserve"> </w:t>
      </w:r>
      <w:r w:rsidRPr="00303B91">
        <w:t>Saya memantau dan mengawasi kondisi tersangka selama proses peradilan, untuk memastikan bahwa tersangka dalam keadaan yang baik dan dapat berpartisipasi dalam proses peradilan.</w:t>
      </w:r>
      <w:r>
        <w:rPr>
          <w:rStyle w:val="FootnoteReference"/>
        </w:rPr>
        <w:footnoteReference w:id="29"/>
      </w:r>
    </w:p>
    <w:p w14:paraId="7B4E6A35" w14:textId="77777777" w:rsidR="00314325" w:rsidRDefault="00314325" w:rsidP="00314325">
      <w:pPr>
        <w:widowControl w:val="0"/>
        <w:ind w:left="720"/>
        <w:jc w:val="both"/>
      </w:pPr>
    </w:p>
    <w:p w14:paraId="0A4D5C28" w14:textId="77777777" w:rsidR="00314325" w:rsidRDefault="00314325" w:rsidP="00314325">
      <w:pPr>
        <w:widowControl w:val="0"/>
        <w:spacing w:line="480" w:lineRule="auto"/>
        <w:ind w:firstLine="720"/>
        <w:jc w:val="both"/>
      </w:pPr>
      <w:r>
        <w:t>Berdasarkan hasil wawancara dengan Bapak</w:t>
      </w:r>
      <w:r w:rsidRPr="00CC4EF9">
        <w:t xml:space="preserve"> </w:t>
      </w:r>
      <w:r>
        <w:t>Deny Syahputra, S.H., M.H. selaku hakim di Pengadilan negeri Medan menjelaskan bahwa:</w:t>
      </w:r>
    </w:p>
    <w:p w14:paraId="54D52965" w14:textId="77777777" w:rsidR="00314325" w:rsidRDefault="00314325" w:rsidP="00314325">
      <w:pPr>
        <w:widowControl w:val="0"/>
        <w:ind w:left="720"/>
        <w:jc w:val="both"/>
      </w:pPr>
      <w:r w:rsidRPr="00AF7DFC">
        <w:t>Saya memastikan bahwa proses peradilan dilakukan secara transparan dan terbuka, sehingga tersangka dapat memahami dan mengikuti proses peradilan yang sedang berlangsung.</w:t>
      </w:r>
      <w:r>
        <w:t xml:space="preserve"> </w:t>
      </w:r>
      <w:r w:rsidRPr="00AF7DFC">
        <w:t>Saya memastikan bahwa advokat tersangka dapat keterlibatan secara aktif dalam proses peradilan, sehingga tersangka dapat memperoleh bantuan hukum yang memadai. Saya memastikan bahwa tersangka dapat memperoleh informasi yang jelas dan lengkap tentang proses peradilan yang sedang berlangsung, sehingga mereka dapat memahami dan mengikuti proses peradilan yang sedang berlangsung.</w:t>
      </w:r>
      <w:r>
        <w:t xml:space="preserve"> </w:t>
      </w:r>
      <w:r w:rsidRPr="00AF7DFC">
        <w:t>Saya memastikan bahwa proses peradilan dilakukan secara independen dan tidak terpengaruh oleh pihak-pihak luar, sehingga hakim dapat menjalankan tugasnya secara objektif dan tidak memihak.</w:t>
      </w:r>
      <w:r>
        <w:rPr>
          <w:rStyle w:val="FootnoteReference"/>
        </w:rPr>
        <w:footnoteReference w:id="30"/>
      </w:r>
    </w:p>
    <w:p w14:paraId="10A1F0BE" w14:textId="77777777" w:rsidR="00314325" w:rsidRDefault="00314325" w:rsidP="00314325">
      <w:pPr>
        <w:widowControl w:val="0"/>
        <w:ind w:left="720"/>
        <w:jc w:val="both"/>
      </w:pPr>
    </w:p>
    <w:p w14:paraId="2F9D75D4" w14:textId="77777777" w:rsidR="00A96077" w:rsidRDefault="00A96077" w:rsidP="00314325">
      <w:pPr>
        <w:widowControl w:val="0"/>
        <w:spacing w:line="480" w:lineRule="auto"/>
        <w:ind w:firstLine="720"/>
        <w:jc w:val="both"/>
      </w:pPr>
    </w:p>
    <w:p w14:paraId="46BE0076" w14:textId="77777777" w:rsidR="00314325" w:rsidRDefault="00314325" w:rsidP="00314325">
      <w:pPr>
        <w:widowControl w:val="0"/>
        <w:spacing w:line="480" w:lineRule="auto"/>
        <w:ind w:firstLine="720"/>
        <w:jc w:val="both"/>
      </w:pPr>
      <w:r>
        <w:t>Berdasarkan hasil wawancara dengan Bapak</w:t>
      </w:r>
      <w:r w:rsidRPr="00CC4EF9">
        <w:t xml:space="preserve"> </w:t>
      </w:r>
      <w:r>
        <w:t xml:space="preserve">Deny Syahputra, S.H., M.H. </w:t>
      </w:r>
      <w:r>
        <w:lastRenderedPageBreak/>
        <w:t>selaku hakim di Pengadilan negeri Medan menjelaskan bahwa:</w:t>
      </w:r>
    </w:p>
    <w:p w14:paraId="02247C6C" w14:textId="77777777" w:rsidR="00314325" w:rsidRDefault="00314325" w:rsidP="00314325">
      <w:pPr>
        <w:widowControl w:val="0"/>
        <w:ind w:left="720"/>
        <w:jc w:val="both"/>
      </w:pPr>
      <w:r>
        <w:t>Saya</w:t>
      </w:r>
      <w:r w:rsidRPr="00132E02">
        <w:t xml:space="preserve"> menegaskan bahwa dalam menjalankan tugasnya, prinsip pengadilan yang adil merupakan dasar utama. Hakim selalu berupaya memastikan bahwa proses persidangan berjalan secara objektif dan tidak memihak, sehingga hak tersangka untuk mendapatkan keadilan terpenuhi.</w:t>
      </w:r>
      <w:r>
        <w:t xml:space="preserve"> </w:t>
      </w:r>
      <w:r w:rsidRPr="00132E02">
        <w:t>Setiap tersangka diperlakukan dengan setara tanpa diskriminasi. Hak tersangka untuk didengar dan menyampaikan pembelaan dihormati sepenuhnya sesuai dengan ketentuan hukum acara pidana. Pentingnya keterbukaan proses persidangan agar tersangka, terdakwa, dan masyarakat umum dapat memahami jalannya proses dan alasan putusan yang diambil, sehingga memperkuat rasa keadilan.</w:t>
      </w:r>
      <w:r>
        <w:rPr>
          <w:rStyle w:val="FootnoteReference"/>
        </w:rPr>
        <w:footnoteReference w:id="31"/>
      </w:r>
    </w:p>
    <w:p w14:paraId="4CC5EEA2" w14:textId="77777777" w:rsidR="00314325" w:rsidRDefault="00314325" w:rsidP="00314325">
      <w:pPr>
        <w:widowControl w:val="0"/>
        <w:ind w:left="720"/>
        <w:jc w:val="both"/>
      </w:pPr>
    </w:p>
    <w:p w14:paraId="543D3C4A" w14:textId="78D6E0F3" w:rsidR="00FA2918" w:rsidRDefault="00314325" w:rsidP="004D71AD">
      <w:pPr>
        <w:widowControl w:val="0"/>
        <w:spacing w:line="480" w:lineRule="auto"/>
        <w:ind w:firstLine="720"/>
        <w:jc w:val="both"/>
      </w:pPr>
      <w:r>
        <w:t>Berdasarkan hasil penelitian dan pembahasan di atas dapat disimpulkan bahwa</w:t>
      </w:r>
      <w:r w:rsidRPr="00BB04E2">
        <w:t xml:space="preserve"> </w:t>
      </w:r>
      <w:r w:rsidRPr="00FD4665">
        <w:t>pertimbangan hakim terkait perlindungan hak asasi tersangka, terutama hak atas pembelaan dan hak hidup</w:t>
      </w:r>
      <w:r>
        <w:t xml:space="preserve"> dalam </w:t>
      </w:r>
      <w:r w:rsidRPr="00FD4665">
        <w:t>Putusan Nomor 2036/Pid.Sus/2025/PN Mdn</w:t>
      </w:r>
      <w:r>
        <w:t xml:space="preserve"> sudah dilakukan dengan baik, yaitu h</w:t>
      </w:r>
      <w:r w:rsidRPr="00023F96">
        <w:t>akim telah mempertimbangkan hak tersangka untuk mendapatkan pembelaan yang adil, sehingga tersangka memiliki kesempatan yang sama untuk mempertahankan diri dalam proses peradilan.</w:t>
      </w:r>
      <w:r>
        <w:t xml:space="preserve"> </w:t>
      </w:r>
      <w:r w:rsidRPr="00023F96">
        <w:t>Hakim telah mempertimbangkan hak tersangka untuk melindungi hak hidupnya, sehingga tidak ada tindakan yang dapat merugikan kehidupan tersangka.</w:t>
      </w:r>
      <w:r>
        <w:t xml:space="preserve"> </w:t>
      </w:r>
      <w:r w:rsidRPr="00023F96">
        <w:t>Pertimbangan hakim dalam putusan ini konsisten dengan prinsip hukum yang berlaku, yaitu prinsip keadilan, kepatuhan hukum, dan perlindungan hak asasi manusia.</w:t>
      </w:r>
      <w:r>
        <w:t xml:space="preserve"> </w:t>
      </w:r>
      <w:proofErr w:type="gramStart"/>
      <w:r w:rsidRPr="00023F96">
        <w:t>Putusan ini memiliki kualitas yang tinggi karena hakim telah mempertimbangkan semua faktor yang relevan sebelum membuat keputusan.</w:t>
      </w:r>
      <w:proofErr w:type="gramEnd"/>
    </w:p>
    <w:sectPr w:rsidR="00FA2918" w:rsidSect="00B2077B">
      <w:headerReference w:type="even" r:id="rId8"/>
      <w:headerReference w:type="default" r:id="rId9"/>
      <w:footerReference w:type="default" r:id="rId10"/>
      <w:headerReference w:type="first" r:id="rId11"/>
      <w:footerReference w:type="first" r:id="rId12"/>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1CF583" w14:textId="77777777" w:rsidR="000F28AB" w:rsidRDefault="000F28AB" w:rsidP="00996743">
      <w:r>
        <w:separator/>
      </w:r>
    </w:p>
  </w:endnote>
  <w:endnote w:type="continuationSeparator" w:id="0">
    <w:p w14:paraId="44A6843D" w14:textId="77777777" w:rsidR="000F28AB" w:rsidRDefault="000F28AB"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7777E" w14:textId="77777777" w:rsidR="00314325" w:rsidRPr="001475FD" w:rsidRDefault="00314325" w:rsidP="001475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686839"/>
      <w:docPartObj>
        <w:docPartGallery w:val="Page Numbers (Bottom of Page)"/>
        <w:docPartUnique/>
      </w:docPartObj>
    </w:sdtPr>
    <w:sdtEndPr/>
    <w:sdtContent>
      <w:p w14:paraId="6D5251E6" w14:textId="77777777" w:rsidR="00314325" w:rsidRDefault="00314325">
        <w:pPr>
          <w:pStyle w:val="Footer"/>
          <w:jc w:val="center"/>
        </w:pPr>
        <w:r>
          <w:fldChar w:fldCharType="begin"/>
        </w:r>
        <w:r>
          <w:instrText xml:space="preserve"> PAGE   \* MERGEFORMAT </w:instrText>
        </w:r>
        <w:r>
          <w:fldChar w:fldCharType="separate"/>
        </w:r>
        <w:r w:rsidR="004D71AD">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D183F9" w14:textId="77777777" w:rsidR="000F28AB" w:rsidRDefault="000F28AB" w:rsidP="00996743">
      <w:r>
        <w:separator/>
      </w:r>
    </w:p>
  </w:footnote>
  <w:footnote w:type="continuationSeparator" w:id="0">
    <w:p w14:paraId="5F121A4C" w14:textId="77777777" w:rsidR="000F28AB" w:rsidRDefault="000F28AB" w:rsidP="00996743">
      <w:r>
        <w:continuationSeparator/>
      </w:r>
    </w:p>
  </w:footnote>
  <w:footnote w:id="1">
    <w:p w14:paraId="5678F226" w14:textId="77777777" w:rsidR="00314325" w:rsidRPr="00B91E6F" w:rsidRDefault="00314325" w:rsidP="00FA2918">
      <w:pPr>
        <w:pStyle w:val="FootnoteText"/>
        <w:ind w:firstLine="720"/>
        <w:jc w:val="both"/>
      </w:pPr>
      <w:r>
        <w:rPr>
          <w:rStyle w:val="FootnoteReference"/>
        </w:rPr>
        <w:footnoteRef/>
      </w:r>
      <w:r>
        <w:t xml:space="preserve">Yusuf Setyadi dkk,  </w:t>
      </w:r>
      <w:r w:rsidRPr="00B91E6F">
        <w:rPr>
          <w:i/>
        </w:rPr>
        <w:t>Analisis Potensi Pelanggaran Ham Pada Kasus Penyelundupan Narkoba Dalam Pespektif Politik Hukum</w:t>
      </w:r>
      <w:r>
        <w:t>, Jurnal Jendela Hukum, Vol. 12, No. 1, (2025), hlm. 123.</w:t>
      </w:r>
    </w:p>
  </w:footnote>
  <w:footnote w:id="2">
    <w:p w14:paraId="78EE7C4F" w14:textId="77777777" w:rsidR="00314325" w:rsidRDefault="00314325" w:rsidP="00FA2918">
      <w:pPr>
        <w:pStyle w:val="FootnoteText"/>
        <w:ind w:firstLine="720"/>
        <w:jc w:val="both"/>
      </w:pPr>
      <w:r>
        <w:rPr>
          <w:rStyle w:val="FootnoteReference"/>
        </w:rPr>
        <w:footnoteRef/>
      </w:r>
      <w:r>
        <w:rPr>
          <w:i/>
        </w:rPr>
        <w:t>Ibid.</w:t>
      </w:r>
      <w:r>
        <w:t xml:space="preserve"> </w:t>
      </w:r>
    </w:p>
  </w:footnote>
  <w:footnote w:id="3">
    <w:p w14:paraId="7023E11A" w14:textId="77777777" w:rsidR="00314325" w:rsidRPr="007E16FF" w:rsidRDefault="00314325" w:rsidP="00FA2918">
      <w:pPr>
        <w:pStyle w:val="FootnoteText"/>
        <w:ind w:firstLine="720"/>
        <w:jc w:val="both"/>
      </w:pPr>
      <w:r w:rsidRPr="007E16FF">
        <w:rPr>
          <w:rStyle w:val="FootnoteReference"/>
        </w:rPr>
        <w:footnoteRef/>
      </w:r>
      <w:r w:rsidRPr="007E16FF">
        <w:rPr>
          <w:i/>
        </w:rPr>
        <w:t>Ibid</w:t>
      </w:r>
      <w:r w:rsidRPr="007E16FF">
        <w:t>., hlm. 25.</w:t>
      </w:r>
    </w:p>
  </w:footnote>
  <w:footnote w:id="4">
    <w:p w14:paraId="2B7F8CC5" w14:textId="77777777" w:rsidR="00314325" w:rsidRPr="00BE163B" w:rsidRDefault="00314325" w:rsidP="00FA2918">
      <w:pPr>
        <w:pStyle w:val="FootnoteText"/>
        <w:ind w:firstLine="720"/>
        <w:jc w:val="both"/>
      </w:pPr>
      <w:r>
        <w:rPr>
          <w:rStyle w:val="FootnoteReference"/>
        </w:rPr>
        <w:footnoteRef/>
      </w:r>
      <w:r>
        <w:t xml:space="preserve">Susiyanto dkk, </w:t>
      </w:r>
      <w:r w:rsidR="00FA2918">
        <w:rPr>
          <w:i/>
        </w:rPr>
        <w:t xml:space="preserve">Op.Cit., </w:t>
      </w:r>
      <w:r>
        <w:t>hlm. 434.</w:t>
      </w:r>
    </w:p>
  </w:footnote>
  <w:footnote w:id="5">
    <w:p w14:paraId="574831D0" w14:textId="77777777" w:rsidR="00314325" w:rsidRDefault="00314325" w:rsidP="00FA2918">
      <w:pPr>
        <w:pStyle w:val="FootnoteText"/>
        <w:ind w:firstLine="720"/>
        <w:jc w:val="both"/>
      </w:pPr>
      <w:r>
        <w:rPr>
          <w:rStyle w:val="FootnoteReference"/>
        </w:rPr>
        <w:footnoteRef/>
      </w:r>
      <w:r>
        <w:t xml:space="preserve">Iqbal Taufik, </w:t>
      </w:r>
      <w:r w:rsidRPr="00A51DFD">
        <w:rPr>
          <w:i/>
        </w:rPr>
        <w:t>Kendala Dalam Pelaksanaan Pembelian Terselubung (Undercover Buy ) Dalam Mengungkap Tindak Pidana Narkotika Oleh Penyidik Polri</w:t>
      </w:r>
      <w:r>
        <w:t xml:space="preserve">, Jurnal Sasi, Vol. 23, No. 2, (2017), hlm. 125. </w:t>
      </w:r>
    </w:p>
  </w:footnote>
  <w:footnote w:id="6">
    <w:p w14:paraId="07ABE703"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7">
    <w:p w14:paraId="68CA0786"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8">
    <w:p w14:paraId="298F8AAE"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9">
    <w:p w14:paraId="02C7F760"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10">
    <w:p w14:paraId="4C69E043"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11">
    <w:p w14:paraId="14CD41A3"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12">
    <w:p w14:paraId="215BC5C9"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13">
    <w:p w14:paraId="58BF7301"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14">
    <w:p w14:paraId="43ABD60A"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15">
    <w:p w14:paraId="323F0DF5"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16">
    <w:p w14:paraId="38073F0E" w14:textId="77777777" w:rsidR="00314325" w:rsidRDefault="00314325" w:rsidP="00FA2918">
      <w:pPr>
        <w:pStyle w:val="FootnoteText"/>
        <w:ind w:firstLine="720"/>
        <w:jc w:val="both"/>
      </w:pPr>
      <w:r>
        <w:rPr>
          <w:rStyle w:val="FootnoteReference"/>
        </w:rPr>
        <w:footnoteRef/>
      </w:r>
      <w:r>
        <w:t xml:space="preserve">Syarif Hidayatulloh dan Sigit Kamseno, </w:t>
      </w:r>
      <w:r w:rsidRPr="00ED245B">
        <w:rPr>
          <w:i/>
        </w:rPr>
        <w:t>Peran Penyidik dalam Menjamin Hak Tersangka : Kajian terhadap Implementasi KUHAP dalam Tahap Penyidikan</w:t>
      </w:r>
      <w:r>
        <w:t>, Jurnal Demokrasi, Vol. 2, No. 3, (2025), hlm. 310.</w:t>
      </w:r>
    </w:p>
  </w:footnote>
  <w:footnote w:id="17">
    <w:p w14:paraId="090AC7C4" w14:textId="77777777" w:rsidR="00314325" w:rsidRDefault="00314325" w:rsidP="00FA2918">
      <w:pPr>
        <w:pStyle w:val="FootnoteText"/>
        <w:ind w:firstLine="720"/>
        <w:jc w:val="both"/>
      </w:pPr>
      <w:r>
        <w:rPr>
          <w:rStyle w:val="FootnoteReference"/>
        </w:rPr>
        <w:footnoteRef/>
      </w:r>
      <w:r>
        <w:t xml:space="preserve">Kinaria Afriani, </w:t>
      </w:r>
      <w:r w:rsidRPr="009C1C7B">
        <w:rPr>
          <w:i/>
        </w:rPr>
        <w:t>Implementasi Prinsip Hak Asasi Manusia dalam Proses Penyidikan di Indonesia</w:t>
      </w:r>
      <w:r>
        <w:t>, Jurnal Lex Librum, Vol. 11, No. 1, (2024), hlm. 42.</w:t>
      </w:r>
    </w:p>
  </w:footnote>
  <w:footnote w:id="18">
    <w:p w14:paraId="7D9E6F35" w14:textId="77777777" w:rsidR="00314325" w:rsidRDefault="00314325" w:rsidP="00FA2918">
      <w:pPr>
        <w:pStyle w:val="FootnoteText"/>
        <w:ind w:firstLine="720"/>
        <w:jc w:val="both"/>
      </w:pPr>
      <w:r>
        <w:rPr>
          <w:rStyle w:val="FootnoteReference"/>
        </w:rPr>
        <w:footnoteRef/>
      </w:r>
      <w:r>
        <w:rPr>
          <w:i/>
        </w:rPr>
        <w:t>Ibid.</w:t>
      </w:r>
      <w:r>
        <w:t xml:space="preserve"> </w:t>
      </w:r>
    </w:p>
  </w:footnote>
  <w:footnote w:id="19">
    <w:p w14:paraId="421D4F9F" w14:textId="77777777" w:rsidR="00314325" w:rsidRDefault="00314325" w:rsidP="00FA2918">
      <w:pPr>
        <w:pStyle w:val="FootnoteText"/>
        <w:ind w:firstLine="720"/>
        <w:jc w:val="both"/>
      </w:pPr>
      <w:r>
        <w:rPr>
          <w:rStyle w:val="FootnoteReference"/>
        </w:rPr>
        <w:footnoteRef/>
      </w:r>
      <w:r>
        <w:t xml:space="preserve">Radisman Saragih dkk, </w:t>
      </w:r>
      <w:r w:rsidRPr="00FA2918">
        <w:rPr>
          <w:i/>
        </w:rPr>
        <w:t>Penegakan Hukum dan Perlindungan Hukum terhadap Peredaran dan Penyalahgunaan Narkoba di Kalangan Remaja: Studi Kasus di Indonesia</w:t>
      </w:r>
      <w:r>
        <w:t xml:space="preserve">, Jurnal Honeste Vivere, Vol. 34, No. 2, (2024), hlm. 248. </w:t>
      </w:r>
    </w:p>
  </w:footnote>
  <w:footnote w:id="20">
    <w:p w14:paraId="79845AE7" w14:textId="77777777" w:rsidR="00314325" w:rsidRDefault="00314325" w:rsidP="00FA2918">
      <w:pPr>
        <w:pStyle w:val="FootnoteText"/>
        <w:ind w:firstLine="720"/>
        <w:jc w:val="both"/>
      </w:pPr>
      <w:r>
        <w:rPr>
          <w:rStyle w:val="FootnoteReference"/>
        </w:rPr>
        <w:footnoteRef/>
      </w:r>
      <w:r>
        <w:rPr>
          <w:i/>
        </w:rPr>
        <w:t>Ibid.</w:t>
      </w:r>
      <w:r>
        <w:t xml:space="preserve"> </w:t>
      </w:r>
    </w:p>
  </w:footnote>
  <w:footnote w:id="21">
    <w:p w14:paraId="65A04F72"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22">
    <w:p w14:paraId="5214A83F"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23">
    <w:p w14:paraId="7D875EF0"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24">
    <w:p w14:paraId="4D520629"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25">
    <w:p w14:paraId="5EC33F2A"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26">
    <w:p w14:paraId="035B1A29" w14:textId="77777777" w:rsidR="00314325" w:rsidRDefault="00314325" w:rsidP="00FA2918">
      <w:pPr>
        <w:pStyle w:val="FootnoteText"/>
        <w:ind w:firstLine="720"/>
        <w:jc w:val="both"/>
      </w:pPr>
      <w:r>
        <w:rPr>
          <w:rStyle w:val="FootnoteReference"/>
        </w:rPr>
        <w:footnoteRef/>
      </w:r>
      <w:r>
        <w:t xml:space="preserve">Jan Remmelink, </w:t>
      </w:r>
      <w:r w:rsidRPr="00A86986">
        <w:rPr>
          <w:i/>
        </w:rPr>
        <w:t>Hukum Pidana</w:t>
      </w:r>
      <w:r>
        <w:t>, PT. Gramedia Pustaka Utama, Jakarta, (2023), hlm. 213.</w:t>
      </w:r>
    </w:p>
  </w:footnote>
  <w:footnote w:id="27">
    <w:p w14:paraId="59073996"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28">
    <w:p w14:paraId="05390D28"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29">
    <w:p w14:paraId="78BA6CF4"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30">
    <w:p w14:paraId="22F2BA0A"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 w:id="31">
    <w:p w14:paraId="54D7CC9A" w14:textId="77777777" w:rsidR="00314325" w:rsidRDefault="00314325" w:rsidP="00FA2918">
      <w:pPr>
        <w:pStyle w:val="FootnoteText"/>
        <w:ind w:firstLine="720"/>
        <w:jc w:val="both"/>
      </w:pPr>
      <w:r>
        <w:rPr>
          <w:rStyle w:val="FootnoteReference"/>
        </w:rPr>
        <w:footnoteRef/>
      </w:r>
      <w:r>
        <w:t>Hasil wawancara dengan Bapak  Deny Syahputra, S.H., M.H. selaku hakim di Pengadilan negeri Medan pada tanggal 05 Mei 2026, pukul 13.00 Wib.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CF5F0" w14:textId="2CF3BE9F" w:rsidR="00736AA3" w:rsidRDefault="00736AA3">
    <w:pPr>
      <w:pStyle w:val="Header"/>
    </w:pPr>
    <w:r>
      <w:rPr>
        <w:noProof/>
      </w:rPr>
      <w:pict w14:anchorId="1DE4A9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8" o:spid="_x0000_s2059" type="#_x0000_t75" style="position:absolute;margin-left:0;margin-top:0;width:413.05pt;height:407.3pt;z-index:-251648000;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3360081"/>
      <w:docPartObj>
        <w:docPartGallery w:val="Page Numbers (Top of Page)"/>
        <w:docPartUnique/>
      </w:docPartObj>
    </w:sdtPr>
    <w:sdtEndPr/>
    <w:sdtContent>
      <w:p w14:paraId="79F0EE86" w14:textId="363505A7" w:rsidR="00314325" w:rsidRDefault="00736AA3">
        <w:pPr>
          <w:pStyle w:val="Header"/>
          <w:jc w:val="right"/>
        </w:pPr>
        <w:r>
          <w:rPr>
            <w:noProof/>
          </w:rPr>
          <w:pict w14:anchorId="2B269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9" o:spid="_x0000_s2060" type="#_x0000_t75" style="position:absolute;left:0;text-align:left;margin-left:0;margin-top:0;width:413.05pt;height:407.3pt;z-index:-251646976;mso-position-horizontal:center;mso-position-horizontal-relative:margin;mso-position-vertical:center;mso-position-vertical-relative:margin" o:allowincell="f">
              <v:imagedata r:id="rId1" o:title="WhatsApp Image 2026-09-14 at 09.02.31" gain="19661f" blacklevel="22938f"/>
            </v:shape>
          </w:pict>
        </w:r>
        <w:r w:rsidR="00314325">
          <w:fldChar w:fldCharType="begin"/>
        </w:r>
        <w:r w:rsidR="00314325">
          <w:instrText xml:space="preserve"> PAGE   \* MERGEFORMAT </w:instrText>
        </w:r>
        <w:r w:rsidR="00314325">
          <w:fldChar w:fldCharType="separate"/>
        </w:r>
        <w:r w:rsidR="004D71AD">
          <w:rPr>
            <w:noProof/>
          </w:rPr>
          <w:t>2</w:t>
        </w:r>
        <w:r w:rsidR="00314325">
          <w:rPr>
            <w:noProof/>
          </w:rPr>
          <w:fldChar w:fldCharType="end"/>
        </w:r>
      </w:p>
    </w:sdtContent>
  </w:sdt>
  <w:p w14:paraId="2AFB76CE" w14:textId="77777777" w:rsidR="00314325" w:rsidRDefault="003143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C7884" w14:textId="0F4CF014" w:rsidR="00314325" w:rsidRDefault="00736AA3">
    <w:pPr>
      <w:pStyle w:val="Header"/>
    </w:pPr>
    <w:r>
      <w:rPr>
        <w:noProof/>
      </w:rPr>
      <w:pict w14:anchorId="15A2F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7" o:spid="_x0000_s2058" type="#_x0000_t75" style="position:absolute;margin-left:0;margin-top:0;width:413.05pt;height:407.3pt;z-index:-251649024;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09F2"/>
    <w:multiLevelType w:val="hybridMultilevel"/>
    <w:tmpl w:val="58725F1E"/>
    <w:lvl w:ilvl="0" w:tplc="8E8AB4A2">
      <w:start w:val="1"/>
      <w:numFmt w:val="decimal"/>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5372A8"/>
    <w:multiLevelType w:val="hybridMultilevel"/>
    <w:tmpl w:val="DBF60E0A"/>
    <w:lvl w:ilvl="0" w:tplc="04090015">
      <w:start w:val="1"/>
      <w:numFmt w:val="upperLetter"/>
      <w:lvlText w:val="%1."/>
      <w:lvlJc w:val="left"/>
      <w:pPr>
        <w:ind w:left="1440" w:hanging="360"/>
      </w:pPr>
    </w:lvl>
    <w:lvl w:ilvl="1" w:tplc="D13472D4">
      <w:start w:val="1"/>
      <w:numFmt w:val="decimal"/>
      <w:lvlText w:val="%2."/>
      <w:lvlJc w:val="left"/>
      <w:pPr>
        <w:ind w:left="2160" w:hanging="360"/>
      </w:pPr>
      <w:rPr>
        <w:rFonts w:ascii="Times New Roman" w:eastAsiaTheme="minorHAnsi" w:hAnsi="Times New Roman" w:cs="Times New Roman"/>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D222A3"/>
    <w:multiLevelType w:val="hybridMultilevel"/>
    <w:tmpl w:val="D3BEDCB6"/>
    <w:lvl w:ilvl="0" w:tplc="3AA8CF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BB2C1A"/>
    <w:multiLevelType w:val="hybridMultilevel"/>
    <w:tmpl w:val="7018E4B8"/>
    <w:lvl w:ilvl="0" w:tplc="4052FC46">
      <w:start w:val="1"/>
      <w:numFmt w:val="lowerLetter"/>
      <w:lvlText w:val="%1."/>
      <w:lvlJc w:val="left"/>
      <w:pPr>
        <w:ind w:left="1710" w:hanging="990"/>
      </w:pPr>
      <w:rPr>
        <w:rFonts w:hint="default"/>
      </w:rPr>
    </w:lvl>
    <w:lvl w:ilvl="1" w:tplc="08DA0E9C">
      <w:start w:val="1"/>
      <w:numFmt w:val="decimal"/>
      <w:lvlText w:val="%2."/>
      <w:lvlJc w:val="left"/>
      <w:pPr>
        <w:ind w:left="2475" w:hanging="103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FE455D"/>
    <w:multiLevelType w:val="hybridMultilevel"/>
    <w:tmpl w:val="B9F0B9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9">
      <w:start w:val="1"/>
      <w:numFmt w:val="lowerLetter"/>
      <w:lvlText w:val="%9."/>
      <w:lvlJc w:val="left"/>
      <w:pPr>
        <w:ind w:left="7200" w:hanging="180"/>
      </w:pPr>
    </w:lvl>
  </w:abstractNum>
  <w:abstractNum w:abstractNumId="6">
    <w:nsid w:val="1B136790"/>
    <w:multiLevelType w:val="hybridMultilevel"/>
    <w:tmpl w:val="825C703E"/>
    <w:lvl w:ilvl="0" w:tplc="04090019">
      <w:start w:val="1"/>
      <w:numFmt w:val="lowerLetter"/>
      <w:lvlText w:val="%1."/>
      <w:lvlJc w:val="left"/>
      <w:pPr>
        <w:ind w:left="72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F425167"/>
    <w:multiLevelType w:val="hybridMultilevel"/>
    <w:tmpl w:val="2A6616E2"/>
    <w:lvl w:ilvl="0" w:tplc="EE32B058">
      <w:start w:val="1"/>
      <w:numFmt w:val="decimal"/>
      <w:lvlText w:val="%1."/>
      <w:lvlJc w:val="left"/>
      <w:pPr>
        <w:ind w:left="1680" w:hanging="960"/>
      </w:pPr>
      <w:rPr>
        <w:rFonts w:hint="default"/>
      </w:rPr>
    </w:lvl>
    <w:lvl w:ilvl="1" w:tplc="43A0CC9A">
      <w:start w:val="1"/>
      <w:numFmt w:val="lowerLetter"/>
      <w:lvlText w:val="%2."/>
      <w:lvlJc w:val="left"/>
      <w:pPr>
        <w:ind w:left="2415" w:hanging="97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8251F6"/>
    <w:multiLevelType w:val="hybridMultilevel"/>
    <w:tmpl w:val="32007FCE"/>
    <w:lvl w:ilvl="0" w:tplc="D13472D4">
      <w:start w:val="1"/>
      <w:numFmt w:val="decimal"/>
      <w:lvlText w:val="%1."/>
      <w:lvlJc w:val="left"/>
      <w:pPr>
        <w:ind w:left="144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470858"/>
    <w:multiLevelType w:val="hybridMultilevel"/>
    <w:tmpl w:val="4D0EA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8685E60"/>
    <w:multiLevelType w:val="hybridMultilevel"/>
    <w:tmpl w:val="A6CED1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A303E63"/>
    <w:multiLevelType w:val="hybridMultilevel"/>
    <w:tmpl w:val="1BBC3F38"/>
    <w:lvl w:ilvl="0" w:tplc="4052FC46">
      <w:start w:val="1"/>
      <w:numFmt w:val="lowerLetter"/>
      <w:lvlText w:val="%1."/>
      <w:lvlJc w:val="left"/>
      <w:pPr>
        <w:ind w:left="2430" w:hanging="9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5C3124"/>
    <w:multiLevelType w:val="hybridMultilevel"/>
    <w:tmpl w:val="DA4C1D1A"/>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E983182"/>
    <w:multiLevelType w:val="hybridMultilevel"/>
    <w:tmpl w:val="388CC96A"/>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C23C2A0E">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2D7BD1"/>
    <w:multiLevelType w:val="hybridMultilevel"/>
    <w:tmpl w:val="AD261EB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nsid w:val="301E381B"/>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796D9B"/>
    <w:multiLevelType w:val="hybridMultilevel"/>
    <w:tmpl w:val="3FC85F42"/>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7">
    <w:nsid w:val="3472453E"/>
    <w:multiLevelType w:val="hybridMultilevel"/>
    <w:tmpl w:val="B39ACA58"/>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39E2ED4C">
      <w:start w:val="1"/>
      <w:numFmt w:val="decimal"/>
      <w:lvlText w:val="%5)"/>
      <w:lvlJc w:val="left"/>
      <w:pPr>
        <w:ind w:left="4665" w:hanging="1065"/>
      </w:pPr>
      <w:rPr>
        <w:rFonts w:hint="default"/>
      </w:rPr>
    </w:lvl>
    <w:lvl w:ilvl="5" w:tplc="D37A67D6">
      <w:start w:val="1"/>
      <w:numFmt w:val="lowerLetter"/>
      <w:lvlText w:val="%6)"/>
      <w:lvlJc w:val="left"/>
      <w:pPr>
        <w:ind w:left="4860" w:hanging="360"/>
      </w:pPr>
      <w:rPr>
        <w:rFonts w:hint="default"/>
      </w:rPr>
    </w:lvl>
    <w:lvl w:ilvl="6" w:tplc="04090019">
      <w:start w:val="1"/>
      <w:numFmt w:val="lowerLetter"/>
      <w:lvlText w:val="%7."/>
      <w:lvlJc w:val="left"/>
      <w:pPr>
        <w:ind w:left="5400" w:hanging="360"/>
      </w:pPr>
    </w:lvl>
    <w:lvl w:ilvl="7" w:tplc="462698E8">
      <w:start w:val="1"/>
      <w:numFmt w:val="upperLetter"/>
      <w:lvlText w:val="%8."/>
      <w:lvlJc w:val="left"/>
      <w:pPr>
        <w:ind w:left="6120" w:hanging="360"/>
      </w:pPr>
      <w:rPr>
        <w:rFonts w:hint="default"/>
      </w:rPr>
    </w:lvl>
    <w:lvl w:ilvl="8" w:tplc="4F7261D2">
      <w:start w:val="1"/>
      <w:numFmt w:val="lowerLetter"/>
      <w:lvlText w:val="%9.)"/>
      <w:lvlJc w:val="left"/>
      <w:pPr>
        <w:ind w:left="7020" w:hanging="360"/>
      </w:pPr>
      <w:rPr>
        <w:rFonts w:hint="default"/>
      </w:rPr>
    </w:lvl>
  </w:abstractNum>
  <w:abstractNum w:abstractNumId="18">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7F66CC"/>
    <w:multiLevelType w:val="hybridMultilevel"/>
    <w:tmpl w:val="AA9A4C32"/>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E905222"/>
    <w:multiLevelType w:val="hybridMultilevel"/>
    <w:tmpl w:val="4C9C84A2"/>
    <w:lvl w:ilvl="0" w:tplc="41AA718E">
      <w:start w:val="1"/>
      <w:numFmt w:val="decimal"/>
      <w:lvlText w:val="%1."/>
      <w:lvlJc w:val="left"/>
      <w:pPr>
        <w:ind w:left="2460" w:hanging="10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02E7352"/>
    <w:multiLevelType w:val="hybridMultilevel"/>
    <w:tmpl w:val="3E7EB200"/>
    <w:lvl w:ilvl="0" w:tplc="229E73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341B04"/>
    <w:multiLevelType w:val="hybridMultilevel"/>
    <w:tmpl w:val="2F10C436"/>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34A3251"/>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3AA0BDD"/>
    <w:multiLevelType w:val="hybridMultilevel"/>
    <w:tmpl w:val="92D43AF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5BE5D19"/>
    <w:multiLevelType w:val="multilevel"/>
    <w:tmpl w:val="BF32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7973712"/>
    <w:multiLevelType w:val="hybridMultilevel"/>
    <w:tmpl w:val="8B70B8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B566C41"/>
    <w:multiLevelType w:val="hybridMultilevel"/>
    <w:tmpl w:val="E940DAD6"/>
    <w:lvl w:ilvl="0" w:tplc="1A5A5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DA73DB2"/>
    <w:multiLevelType w:val="hybridMultilevel"/>
    <w:tmpl w:val="40545C7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F4011BD"/>
    <w:multiLevelType w:val="hybridMultilevel"/>
    <w:tmpl w:val="CA50E868"/>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7">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1E6382C"/>
    <w:multiLevelType w:val="hybridMultilevel"/>
    <w:tmpl w:val="F7A2859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49C1932"/>
    <w:multiLevelType w:val="hybridMultilevel"/>
    <w:tmpl w:val="6AF4905A"/>
    <w:lvl w:ilvl="0" w:tplc="0B422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37">
    <w:nsid w:val="617A47FB"/>
    <w:multiLevelType w:val="hybridMultilevel"/>
    <w:tmpl w:val="4AC262E4"/>
    <w:lvl w:ilvl="0" w:tplc="0409000F">
      <w:start w:val="1"/>
      <w:numFmt w:val="decimal"/>
      <w:lvlText w:val="%1."/>
      <w:lvlJc w:val="left"/>
      <w:pPr>
        <w:ind w:left="14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nsid w:val="64C93908"/>
    <w:multiLevelType w:val="hybridMultilevel"/>
    <w:tmpl w:val="EF588AD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D383D01"/>
    <w:multiLevelType w:val="hybridMultilevel"/>
    <w:tmpl w:val="09566A24"/>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DAF225D"/>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DA7B26"/>
    <w:multiLevelType w:val="hybridMultilevel"/>
    <w:tmpl w:val="6A606B2C"/>
    <w:lvl w:ilvl="0" w:tplc="8E8AB4A2">
      <w:start w:val="1"/>
      <w:numFmt w:val="decimal"/>
      <w:lvlText w:val="(%1)"/>
      <w:lvlJc w:val="left"/>
      <w:pPr>
        <w:ind w:left="2505" w:hanging="106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0C33BAD"/>
    <w:multiLevelType w:val="hybridMultilevel"/>
    <w:tmpl w:val="1846758E"/>
    <w:lvl w:ilvl="0" w:tplc="0C08EB6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4CD2716"/>
    <w:multiLevelType w:val="hybridMultilevel"/>
    <w:tmpl w:val="7FDC7D7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7A00510"/>
    <w:multiLevelType w:val="hybridMultilevel"/>
    <w:tmpl w:val="6F163366"/>
    <w:lvl w:ilvl="0" w:tplc="4134E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B816941"/>
    <w:multiLevelType w:val="hybridMultilevel"/>
    <w:tmpl w:val="716E21FC"/>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B832CA1"/>
    <w:multiLevelType w:val="hybridMultilevel"/>
    <w:tmpl w:val="C8388388"/>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7D6437A6"/>
    <w:multiLevelType w:val="hybridMultilevel"/>
    <w:tmpl w:val="D010AC92"/>
    <w:lvl w:ilvl="0" w:tplc="41AA718E">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41"/>
  </w:num>
  <w:num w:numId="3">
    <w:abstractNumId w:val="19"/>
  </w:num>
  <w:num w:numId="4">
    <w:abstractNumId w:val="30"/>
  </w:num>
  <w:num w:numId="5">
    <w:abstractNumId w:val="17"/>
  </w:num>
  <w:num w:numId="6">
    <w:abstractNumId w:val="36"/>
  </w:num>
  <w:num w:numId="7">
    <w:abstractNumId w:val="2"/>
  </w:num>
  <w:num w:numId="8">
    <w:abstractNumId w:val="33"/>
  </w:num>
  <w:num w:numId="9">
    <w:abstractNumId w:val="38"/>
  </w:num>
  <w:num w:numId="10">
    <w:abstractNumId w:val="26"/>
  </w:num>
  <w:num w:numId="11">
    <w:abstractNumId w:val="20"/>
  </w:num>
  <w:num w:numId="12">
    <w:abstractNumId w:val="9"/>
  </w:num>
  <w:num w:numId="13">
    <w:abstractNumId w:val="32"/>
  </w:num>
  <w:num w:numId="14">
    <w:abstractNumId w:val="43"/>
  </w:num>
  <w:num w:numId="15">
    <w:abstractNumId w:val="45"/>
  </w:num>
  <w:num w:numId="16">
    <w:abstractNumId w:val="27"/>
  </w:num>
  <w:num w:numId="17">
    <w:abstractNumId w:val="37"/>
  </w:num>
  <w:num w:numId="18">
    <w:abstractNumId w:val="14"/>
  </w:num>
  <w:num w:numId="19">
    <w:abstractNumId w:val="5"/>
  </w:num>
  <w:num w:numId="20">
    <w:abstractNumId w:val="10"/>
  </w:num>
  <w:num w:numId="21">
    <w:abstractNumId w:val="12"/>
  </w:num>
  <w:num w:numId="22">
    <w:abstractNumId w:val="24"/>
  </w:num>
  <w:num w:numId="23">
    <w:abstractNumId w:val="31"/>
  </w:num>
  <w:num w:numId="24">
    <w:abstractNumId w:val="44"/>
  </w:num>
  <w:num w:numId="25">
    <w:abstractNumId w:val="0"/>
  </w:num>
  <w:num w:numId="26">
    <w:abstractNumId w:val="42"/>
  </w:num>
  <w:num w:numId="27">
    <w:abstractNumId w:val="1"/>
  </w:num>
  <w:num w:numId="28">
    <w:abstractNumId w:val="8"/>
  </w:num>
  <w:num w:numId="29">
    <w:abstractNumId w:val="16"/>
  </w:num>
  <w:num w:numId="30">
    <w:abstractNumId w:val="47"/>
  </w:num>
  <w:num w:numId="31">
    <w:abstractNumId w:val="34"/>
  </w:num>
  <w:num w:numId="32">
    <w:abstractNumId w:val="15"/>
  </w:num>
  <w:num w:numId="33">
    <w:abstractNumId w:val="18"/>
  </w:num>
  <w:num w:numId="34">
    <w:abstractNumId w:val="23"/>
  </w:num>
  <w:num w:numId="35">
    <w:abstractNumId w:val="39"/>
  </w:num>
  <w:num w:numId="36">
    <w:abstractNumId w:val="28"/>
  </w:num>
  <w:num w:numId="37">
    <w:abstractNumId w:val="29"/>
  </w:num>
  <w:num w:numId="38">
    <w:abstractNumId w:val="35"/>
  </w:num>
  <w:num w:numId="39">
    <w:abstractNumId w:val="22"/>
  </w:num>
  <w:num w:numId="40">
    <w:abstractNumId w:val="4"/>
  </w:num>
  <w:num w:numId="41">
    <w:abstractNumId w:val="11"/>
  </w:num>
  <w:num w:numId="42">
    <w:abstractNumId w:val="7"/>
  </w:num>
  <w:num w:numId="43">
    <w:abstractNumId w:val="40"/>
  </w:num>
  <w:num w:numId="44">
    <w:abstractNumId w:val="46"/>
  </w:num>
  <w:num w:numId="45">
    <w:abstractNumId w:val="48"/>
  </w:num>
  <w:num w:numId="46">
    <w:abstractNumId w:val="21"/>
  </w:num>
  <w:num w:numId="47">
    <w:abstractNumId w:val="3"/>
  </w:num>
  <w:num w:numId="48">
    <w:abstractNumId w:val="25"/>
  </w:num>
  <w:num w:numId="4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drawingGridHorizontalSpacing w:val="12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5E"/>
    <w:rsid w:val="00001833"/>
    <w:rsid w:val="00005683"/>
    <w:rsid w:val="00007016"/>
    <w:rsid w:val="00010BBC"/>
    <w:rsid w:val="00010D9F"/>
    <w:rsid w:val="00014608"/>
    <w:rsid w:val="00017A33"/>
    <w:rsid w:val="00020303"/>
    <w:rsid w:val="000212F2"/>
    <w:rsid w:val="000218D3"/>
    <w:rsid w:val="000248A5"/>
    <w:rsid w:val="00026501"/>
    <w:rsid w:val="00026761"/>
    <w:rsid w:val="00030273"/>
    <w:rsid w:val="00030FFA"/>
    <w:rsid w:val="00040C04"/>
    <w:rsid w:val="0004240C"/>
    <w:rsid w:val="000457BE"/>
    <w:rsid w:val="000500CA"/>
    <w:rsid w:val="00050997"/>
    <w:rsid w:val="000541B2"/>
    <w:rsid w:val="00054453"/>
    <w:rsid w:val="00055AF8"/>
    <w:rsid w:val="00061870"/>
    <w:rsid w:val="00063EFE"/>
    <w:rsid w:val="00064271"/>
    <w:rsid w:val="000652BC"/>
    <w:rsid w:val="00067978"/>
    <w:rsid w:val="000702F3"/>
    <w:rsid w:val="0007192A"/>
    <w:rsid w:val="0007338D"/>
    <w:rsid w:val="000737A2"/>
    <w:rsid w:val="00074632"/>
    <w:rsid w:val="000752D8"/>
    <w:rsid w:val="000754C3"/>
    <w:rsid w:val="0007624A"/>
    <w:rsid w:val="00081077"/>
    <w:rsid w:val="00084C94"/>
    <w:rsid w:val="00085053"/>
    <w:rsid w:val="000A0AC7"/>
    <w:rsid w:val="000A1AA9"/>
    <w:rsid w:val="000A45F9"/>
    <w:rsid w:val="000A785A"/>
    <w:rsid w:val="000A7FEB"/>
    <w:rsid w:val="000B05D7"/>
    <w:rsid w:val="000B23B8"/>
    <w:rsid w:val="000B4507"/>
    <w:rsid w:val="000C1FAE"/>
    <w:rsid w:val="000C28B9"/>
    <w:rsid w:val="000D0E37"/>
    <w:rsid w:val="000D24D5"/>
    <w:rsid w:val="000D7E8E"/>
    <w:rsid w:val="000E2F86"/>
    <w:rsid w:val="000F28AB"/>
    <w:rsid w:val="000F758D"/>
    <w:rsid w:val="0010071D"/>
    <w:rsid w:val="0010121E"/>
    <w:rsid w:val="0010239B"/>
    <w:rsid w:val="001049B1"/>
    <w:rsid w:val="001050D8"/>
    <w:rsid w:val="00113160"/>
    <w:rsid w:val="001153FC"/>
    <w:rsid w:val="001217A5"/>
    <w:rsid w:val="00123728"/>
    <w:rsid w:val="00133DCD"/>
    <w:rsid w:val="0013664D"/>
    <w:rsid w:val="0013771E"/>
    <w:rsid w:val="00140470"/>
    <w:rsid w:val="001404AA"/>
    <w:rsid w:val="001417A9"/>
    <w:rsid w:val="00144C84"/>
    <w:rsid w:val="001475FD"/>
    <w:rsid w:val="0015176D"/>
    <w:rsid w:val="00153FFE"/>
    <w:rsid w:val="00155023"/>
    <w:rsid w:val="00160E29"/>
    <w:rsid w:val="00163C08"/>
    <w:rsid w:val="00171AA6"/>
    <w:rsid w:val="00171D0E"/>
    <w:rsid w:val="00175312"/>
    <w:rsid w:val="00182148"/>
    <w:rsid w:val="00184AAA"/>
    <w:rsid w:val="001865C0"/>
    <w:rsid w:val="00187C9F"/>
    <w:rsid w:val="001942CC"/>
    <w:rsid w:val="0019597D"/>
    <w:rsid w:val="001A3E46"/>
    <w:rsid w:val="001A6F7A"/>
    <w:rsid w:val="001A7145"/>
    <w:rsid w:val="001B4115"/>
    <w:rsid w:val="001B50B7"/>
    <w:rsid w:val="001C14C5"/>
    <w:rsid w:val="001C2E6A"/>
    <w:rsid w:val="001C56A6"/>
    <w:rsid w:val="001C7079"/>
    <w:rsid w:val="001D0139"/>
    <w:rsid w:val="001D5723"/>
    <w:rsid w:val="001D7928"/>
    <w:rsid w:val="001D7D3A"/>
    <w:rsid w:val="001E0801"/>
    <w:rsid w:val="001E310F"/>
    <w:rsid w:val="001E3CFD"/>
    <w:rsid w:val="001F2E97"/>
    <w:rsid w:val="002109FA"/>
    <w:rsid w:val="00210F54"/>
    <w:rsid w:val="00212EFE"/>
    <w:rsid w:val="00213BCD"/>
    <w:rsid w:val="002144A4"/>
    <w:rsid w:val="00215466"/>
    <w:rsid w:val="00222286"/>
    <w:rsid w:val="00223AB3"/>
    <w:rsid w:val="002246F6"/>
    <w:rsid w:val="00224871"/>
    <w:rsid w:val="00224C88"/>
    <w:rsid w:val="002265CB"/>
    <w:rsid w:val="002327DD"/>
    <w:rsid w:val="00236688"/>
    <w:rsid w:val="00237BF8"/>
    <w:rsid w:val="002420D3"/>
    <w:rsid w:val="0024259E"/>
    <w:rsid w:val="00243074"/>
    <w:rsid w:val="0024464B"/>
    <w:rsid w:val="00244834"/>
    <w:rsid w:val="00254E89"/>
    <w:rsid w:val="0025642C"/>
    <w:rsid w:val="00256FB4"/>
    <w:rsid w:val="00265AD5"/>
    <w:rsid w:val="002709ED"/>
    <w:rsid w:val="0027565E"/>
    <w:rsid w:val="00280EC4"/>
    <w:rsid w:val="00281A1A"/>
    <w:rsid w:val="00286A03"/>
    <w:rsid w:val="00286AC3"/>
    <w:rsid w:val="00287598"/>
    <w:rsid w:val="00292FF2"/>
    <w:rsid w:val="002A0C5C"/>
    <w:rsid w:val="002A2C1D"/>
    <w:rsid w:val="002A3261"/>
    <w:rsid w:val="002A3D45"/>
    <w:rsid w:val="002A3D9D"/>
    <w:rsid w:val="002B16C0"/>
    <w:rsid w:val="002B25A2"/>
    <w:rsid w:val="002B332E"/>
    <w:rsid w:val="002B5171"/>
    <w:rsid w:val="002B58F5"/>
    <w:rsid w:val="002C1DAE"/>
    <w:rsid w:val="002C3B37"/>
    <w:rsid w:val="002D330B"/>
    <w:rsid w:val="002D6F4C"/>
    <w:rsid w:val="002E27B8"/>
    <w:rsid w:val="002E2C04"/>
    <w:rsid w:val="002E34B8"/>
    <w:rsid w:val="002E4506"/>
    <w:rsid w:val="002F17D5"/>
    <w:rsid w:val="002F6ADC"/>
    <w:rsid w:val="00303739"/>
    <w:rsid w:val="00312198"/>
    <w:rsid w:val="00314325"/>
    <w:rsid w:val="00320F72"/>
    <w:rsid w:val="003212C2"/>
    <w:rsid w:val="00323073"/>
    <w:rsid w:val="003303BD"/>
    <w:rsid w:val="003350D1"/>
    <w:rsid w:val="003356BC"/>
    <w:rsid w:val="00342DBF"/>
    <w:rsid w:val="00343C36"/>
    <w:rsid w:val="00345CD4"/>
    <w:rsid w:val="00347406"/>
    <w:rsid w:val="00353228"/>
    <w:rsid w:val="00356604"/>
    <w:rsid w:val="003572C9"/>
    <w:rsid w:val="003574C5"/>
    <w:rsid w:val="003620F5"/>
    <w:rsid w:val="00371A44"/>
    <w:rsid w:val="00371E17"/>
    <w:rsid w:val="00372998"/>
    <w:rsid w:val="00373B36"/>
    <w:rsid w:val="00375291"/>
    <w:rsid w:val="00376901"/>
    <w:rsid w:val="0037713C"/>
    <w:rsid w:val="003803F0"/>
    <w:rsid w:val="00380BAC"/>
    <w:rsid w:val="00381ECE"/>
    <w:rsid w:val="003846E0"/>
    <w:rsid w:val="00386D00"/>
    <w:rsid w:val="00396259"/>
    <w:rsid w:val="003963D4"/>
    <w:rsid w:val="00397360"/>
    <w:rsid w:val="003A20A5"/>
    <w:rsid w:val="003A4C79"/>
    <w:rsid w:val="003A7D45"/>
    <w:rsid w:val="003B217E"/>
    <w:rsid w:val="003B60FD"/>
    <w:rsid w:val="003B6B48"/>
    <w:rsid w:val="003C044F"/>
    <w:rsid w:val="003C16AF"/>
    <w:rsid w:val="003D035B"/>
    <w:rsid w:val="003D0B26"/>
    <w:rsid w:val="003D129E"/>
    <w:rsid w:val="003D1728"/>
    <w:rsid w:val="003D47E6"/>
    <w:rsid w:val="003E0D23"/>
    <w:rsid w:val="003E6591"/>
    <w:rsid w:val="003F39C7"/>
    <w:rsid w:val="003F3B5A"/>
    <w:rsid w:val="003F43CE"/>
    <w:rsid w:val="00401806"/>
    <w:rsid w:val="004049DC"/>
    <w:rsid w:val="00405A1B"/>
    <w:rsid w:val="00414650"/>
    <w:rsid w:val="0041581D"/>
    <w:rsid w:val="004213D8"/>
    <w:rsid w:val="0042240A"/>
    <w:rsid w:val="00425BA6"/>
    <w:rsid w:val="00426B80"/>
    <w:rsid w:val="00431FFE"/>
    <w:rsid w:val="004328CB"/>
    <w:rsid w:val="004330E9"/>
    <w:rsid w:val="00433FB5"/>
    <w:rsid w:val="0043513C"/>
    <w:rsid w:val="00436057"/>
    <w:rsid w:val="00440FA0"/>
    <w:rsid w:val="00445C8D"/>
    <w:rsid w:val="00445EA4"/>
    <w:rsid w:val="00450707"/>
    <w:rsid w:val="004603CF"/>
    <w:rsid w:val="00460818"/>
    <w:rsid w:val="00472A2B"/>
    <w:rsid w:val="00473333"/>
    <w:rsid w:val="00475767"/>
    <w:rsid w:val="004760F7"/>
    <w:rsid w:val="00476247"/>
    <w:rsid w:val="00482258"/>
    <w:rsid w:val="004840E7"/>
    <w:rsid w:val="004923B4"/>
    <w:rsid w:val="0049442F"/>
    <w:rsid w:val="00495CA2"/>
    <w:rsid w:val="004A14C1"/>
    <w:rsid w:val="004A20E3"/>
    <w:rsid w:val="004A21E9"/>
    <w:rsid w:val="004A4351"/>
    <w:rsid w:val="004B0F89"/>
    <w:rsid w:val="004B3861"/>
    <w:rsid w:val="004B7556"/>
    <w:rsid w:val="004C1D7D"/>
    <w:rsid w:val="004C3788"/>
    <w:rsid w:val="004C4A85"/>
    <w:rsid w:val="004C65F4"/>
    <w:rsid w:val="004C714C"/>
    <w:rsid w:val="004D4BD5"/>
    <w:rsid w:val="004D4D53"/>
    <w:rsid w:val="004D66BC"/>
    <w:rsid w:val="004D71AD"/>
    <w:rsid w:val="004D755F"/>
    <w:rsid w:val="004E0DC7"/>
    <w:rsid w:val="004E1558"/>
    <w:rsid w:val="004E198E"/>
    <w:rsid w:val="004E582E"/>
    <w:rsid w:val="004E5834"/>
    <w:rsid w:val="004F54AE"/>
    <w:rsid w:val="004F5F79"/>
    <w:rsid w:val="004F6464"/>
    <w:rsid w:val="00501662"/>
    <w:rsid w:val="00502046"/>
    <w:rsid w:val="00505BB8"/>
    <w:rsid w:val="005075BA"/>
    <w:rsid w:val="00511431"/>
    <w:rsid w:val="00511B22"/>
    <w:rsid w:val="005131C8"/>
    <w:rsid w:val="005159C3"/>
    <w:rsid w:val="005164E2"/>
    <w:rsid w:val="00516F08"/>
    <w:rsid w:val="00523387"/>
    <w:rsid w:val="00523591"/>
    <w:rsid w:val="005241CD"/>
    <w:rsid w:val="00533EEF"/>
    <w:rsid w:val="0053595C"/>
    <w:rsid w:val="0054037C"/>
    <w:rsid w:val="00540F68"/>
    <w:rsid w:val="00542BB3"/>
    <w:rsid w:val="00544310"/>
    <w:rsid w:val="0054614D"/>
    <w:rsid w:val="00551C18"/>
    <w:rsid w:val="005528A4"/>
    <w:rsid w:val="00555EFD"/>
    <w:rsid w:val="0055750F"/>
    <w:rsid w:val="0056056B"/>
    <w:rsid w:val="00561079"/>
    <w:rsid w:val="00561E16"/>
    <w:rsid w:val="00566952"/>
    <w:rsid w:val="00567B76"/>
    <w:rsid w:val="00570CCD"/>
    <w:rsid w:val="00571EE4"/>
    <w:rsid w:val="00572F19"/>
    <w:rsid w:val="00573EE1"/>
    <w:rsid w:val="005755CD"/>
    <w:rsid w:val="00576730"/>
    <w:rsid w:val="00576C20"/>
    <w:rsid w:val="00577AE2"/>
    <w:rsid w:val="0058071D"/>
    <w:rsid w:val="00582311"/>
    <w:rsid w:val="005840EF"/>
    <w:rsid w:val="00584802"/>
    <w:rsid w:val="0058655E"/>
    <w:rsid w:val="00586C9A"/>
    <w:rsid w:val="005904BB"/>
    <w:rsid w:val="00590519"/>
    <w:rsid w:val="005909AA"/>
    <w:rsid w:val="0059640C"/>
    <w:rsid w:val="005A5EE2"/>
    <w:rsid w:val="005B645E"/>
    <w:rsid w:val="005B7CE1"/>
    <w:rsid w:val="005C1222"/>
    <w:rsid w:val="005C59F3"/>
    <w:rsid w:val="005C5CDC"/>
    <w:rsid w:val="005D2034"/>
    <w:rsid w:val="005D2DC0"/>
    <w:rsid w:val="005D305B"/>
    <w:rsid w:val="005D3D16"/>
    <w:rsid w:val="005D565F"/>
    <w:rsid w:val="005D5EDA"/>
    <w:rsid w:val="005D74AC"/>
    <w:rsid w:val="005E7753"/>
    <w:rsid w:val="005F123D"/>
    <w:rsid w:val="005F13D0"/>
    <w:rsid w:val="005F1C58"/>
    <w:rsid w:val="005F1F3E"/>
    <w:rsid w:val="0060748F"/>
    <w:rsid w:val="00607F06"/>
    <w:rsid w:val="006206C5"/>
    <w:rsid w:val="00623237"/>
    <w:rsid w:val="006234D9"/>
    <w:rsid w:val="00625E1A"/>
    <w:rsid w:val="00631E40"/>
    <w:rsid w:val="00632750"/>
    <w:rsid w:val="0064151A"/>
    <w:rsid w:val="00643688"/>
    <w:rsid w:val="006459C8"/>
    <w:rsid w:val="0064687B"/>
    <w:rsid w:val="0065710E"/>
    <w:rsid w:val="00657C23"/>
    <w:rsid w:val="00660B64"/>
    <w:rsid w:val="006622A3"/>
    <w:rsid w:val="006658AF"/>
    <w:rsid w:val="006663FD"/>
    <w:rsid w:val="00673CF7"/>
    <w:rsid w:val="00677704"/>
    <w:rsid w:val="00683114"/>
    <w:rsid w:val="006832A3"/>
    <w:rsid w:val="00685C5B"/>
    <w:rsid w:val="00687383"/>
    <w:rsid w:val="006907A9"/>
    <w:rsid w:val="00696244"/>
    <w:rsid w:val="006B224D"/>
    <w:rsid w:val="006B2A3C"/>
    <w:rsid w:val="006B5052"/>
    <w:rsid w:val="006B535F"/>
    <w:rsid w:val="006B6D28"/>
    <w:rsid w:val="006C0AFE"/>
    <w:rsid w:val="006C0B16"/>
    <w:rsid w:val="006C4300"/>
    <w:rsid w:val="006C6189"/>
    <w:rsid w:val="006D0B23"/>
    <w:rsid w:val="006D0B34"/>
    <w:rsid w:val="006D1DB5"/>
    <w:rsid w:val="006D2670"/>
    <w:rsid w:val="006D6F8E"/>
    <w:rsid w:val="006E07CF"/>
    <w:rsid w:val="006E0DCD"/>
    <w:rsid w:val="006E0DE0"/>
    <w:rsid w:val="006E120C"/>
    <w:rsid w:val="006E204D"/>
    <w:rsid w:val="006E6E40"/>
    <w:rsid w:val="006E7601"/>
    <w:rsid w:val="006F0B3E"/>
    <w:rsid w:val="006F216E"/>
    <w:rsid w:val="006F34F0"/>
    <w:rsid w:val="006F60D3"/>
    <w:rsid w:val="006F637F"/>
    <w:rsid w:val="007009D7"/>
    <w:rsid w:val="007073C6"/>
    <w:rsid w:val="00707E26"/>
    <w:rsid w:val="007163A4"/>
    <w:rsid w:val="00722BA0"/>
    <w:rsid w:val="00732C17"/>
    <w:rsid w:val="00735CB4"/>
    <w:rsid w:val="00736AA3"/>
    <w:rsid w:val="007434F7"/>
    <w:rsid w:val="00743C89"/>
    <w:rsid w:val="00747A53"/>
    <w:rsid w:val="00747FA9"/>
    <w:rsid w:val="00751838"/>
    <w:rsid w:val="0075199B"/>
    <w:rsid w:val="007537B8"/>
    <w:rsid w:val="00753F76"/>
    <w:rsid w:val="00755ED6"/>
    <w:rsid w:val="00757292"/>
    <w:rsid w:val="007617CB"/>
    <w:rsid w:val="00761AA5"/>
    <w:rsid w:val="00762F3F"/>
    <w:rsid w:val="00763080"/>
    <w:rsid w:val="007641A9"/>
    <w:rsid w:val="00765BA4"/>
    <w:rsid w:val="007669E1"/>
    <w:rsid w:val="00773056"/>
    <w:rsid w:val="00773836"/>
    <w:rsid w:val="007762DE"/>
    <w:rsid w:val="00780C79"/>
    <w:rsid w:val="00782FE7"/>
    <w:rsid w:val="00786C68"/>
    <w:rsid w:val="007937EF"/>
    <w:rsid w:val="007A0078"/>
    <w:rsid w:val="007A1151"/>
    <w:rsid w:val="007A236D"/>
    <w:rsid w:val="007A56D8"/>
    <w:rsid w:val="007A5E8D"/>
    <w:rsid w:val="007A614B"/>
    <w:rsid w:val="007A62D9"/>
    <w:rsid w:val="007A702B"/>
    <w:rsid w:val="007B078A"/>
    <w:rsid w:val="007B0DC9"/>
    <w:rsid w:val="007B3FFB"/>
    <w:rsid w:val="007B50E2"/>
    <w:rsid w:val="007B575B"/>
    <w:rsid w:val="007C0337"/>
    <w:rsid w:val="007C380C"/>
    <w:rsid w:val="007D185F"/>
    <w:rsid w:val="007E16FF"/>
    <w:rsid w:val="007E2476"/>
    <w:rsid w:val="007E28F7"/>
    <w:rsid w:val="007E5965"/>
    <w:rsid w:val="007E6D5C"/>
    <w:rsid w:val="007F3DD5"/>
    <w:rsid w:val="007F4368"/>
    <w:rsid w:val="007F475A"/>
    <w:rsid w:val="008014AF"/>
    <w:rsid w:val="008034E8"/>
    <w:rsid w:val="00811E68"/>
    <w:rsid w:val="00815123"/>
    <w:rsid w:val="00815D34"/>
    <w:rsid w:val="00820D77"/>
    <w:rsid w:val="008212AF"/>
    <w:rsid w:val="00822FFB"/>
    <w:rsid w:val="00831882"/>
    <w:rsid w:val="008319F9"/>
    <w:rsid w:val="008344A6"/>
    <w:rsid w:val="00835542"/>
    <w:rsid w:val="0083675E"/>
    <w:rsid w:val="00836F00"/>
    <w:rsid w:val="008376C1"/>
    <w:rsid w:val="00841DB8"/>
    <w:rsid w:val="00842EEB"/>
    <w:rsid w:val="00844766"/>
    <w:rsid w:val="008500EB"/>
    <w:rsid w:val="0085638B"/>
    <w:rsid w:val="0085677E"/>
    <w:rsid w:val="00856CB2"/>
    <w:rsid w:val="0086066B"/>
    <w:rsid w:val="008677CE"/>
    <w:rsid w:val="00867F3E"/>
    <w:rsid w:val="00873AA1"/>
    <w:rsid w:val="00874550"/>
    <w:rsid w:val="008875D0"/>
    <w:rsid w:val="00890780"/>
    <w:rsid w:val="00890AEA"/>
    <w:rsid w:val="00891483"/>
    <w:rsid w:val="0089586A"/>
    <w:rsid w:val="00897C76"/>
    <w:rsid w:val="008A1C32"/>
    <w:rsid w:val="008A3515"/>
    <w:rsid w:val="008A58BE"/>
    <w:rsid w:val="008A65C3"/>
    <w:rsid w:val="008A70C8"/>
    <w:rsid w:val="008A70DC"/>
    <w:rsid w:val="008B254E"/>
    <w:rsid w:val="008B7467"/>
    <w:rsid w:val="008C05D3"/>
    <w:rsid w:val="008C0653"/>
    <w:rsid w:val="008C0F22"/>
    <w:rsid w:val="008C1FEB"/>
    <w:rsid w:val="008D1822"/>
    <w:rsid w:val="008D2C51"/>
    <w:rsid w:val="008D2F68"/>
    <w:rsid w:val="008D3719"/>
    <w:rsid w:val="008D4B98"/>
    <w:rsid w:val="008D5053"/>
    <w:rsid w:val="008E01B8"/>
    <w:rsid w:val="008E12C8"/>
    <w:rsid w:val="008F1953"/>
    <w:rsid w:val="00900801"/>
    <w:rsid w:val="009062DF"/>
    <w:rsid w:val="00910DE4"/>
    <w:rsid w:val="009133DF"/>
    <w:rsid w:val="00915818"/>
    <w:rsid w:val="0091615E"/>
    <w:rsid w:val="00924822"/>
    <w:rsid w:val="009253AE"/>
    <w:rsid w:val="00926419"/>
    <w:rsid w:val="00931520"/>
    <w:rsid w:val="00936770"/>
    <w:rsid w:val="0094324E"/>
    <w:rsid w:val="00943BEF"/>
    <w:rsid w:val="00944101"/>
    <w:rsid w:val="009510A0"/>
    <w:rsid w:val="00953406"/>
    <w:rsid w:val="009544D1"/>
    <w:rsid w:val="009569E1"/>
    <w:rsid w:val="00957B72"/>
    <w:rsid w:val="00961FD7"/>
    <w:rsid w:val="00963583"/>
    <w:rsid w:val="00963C05"/>
    <w:rsid w:val="0097011D"/>
    <w:rsid w:val="009708F5"/>
    <w:rsid w:val="00973067"/>
    <w:rsid w:val="009733CF"/>
    <w:rsid w:val="00974E9F"/>
    <w:rsid w:val="009757B4"/>
    <w:rsid w:val="009764E1"/>
    <w:rsid w:val="00981756"/>
    <w:rsid w:val="00981A1D"/>
    <w:rsid w:val="009860C8"/>
    <w:rsid w:val="009919B4"/>
    <w:rsid w:val="00992294"/>
    <w:rsid w:val="00992BA4"/>
    <w:rsid w:val="0099641D"/>
    <w:rsid w:val="00996743"/>
    <w:rsid w:val="009B20DD"/>
    <w:rsid w:val="009B2303"/>
    <w:rsid w:val="009B237A"/>
    <w:rsid w:val="009B45DA"/>
    <w:rsid w:val="009B62CE"/>
    <w:rsid w:val="009B6F1B"/>
    <w:rsid w:val="009C010B"/>
    <w:rsid w:val="009C27FE"/>
    <w:rsid w:val="009C7ABF"/>
    <w:rsid w:val="009D3F86"/>
    <w:rsid w:val="009D6AB1"/>
    <w:rsid w:val="009D7298"/>
    <w:rsid w:val="009E0EB3"/>
    <w:rsid w:val="009E7502"/>
    <w:rsid w:val="009F602E"/>
    <w:rsid w:val="009F60DF"/>
    <w:rsid w:val="009F6326"/>
    <w:rsid w:val="00A01A38"/>
    <w:rsid w:val="00A01FAE"/>
    <w:rsid w:val="00A03B56"/>
    <w:rsid w:val="00A03EB7"/>
    <w:rsid w:val="00A07074"/>
    <w:rsid w:val="00A07E04"/>
    <w:rsid w:val="00A07EC3"/>
    <w:rsid w:val="00A159FE"/>
    <w:rsid w:val="00A15C24"/>
    <w:rsid w:val="00A21E98"/>
    <w:rsid w:val="00A224B6"/>
    <w:rsid w:val="00A2753F"/>
    <w:rsid w:val="00A33AED"/>
    <w:rsid w:val="00A4245B"/>
    <w:rsid w:val="00A450DE"/>
    <w:rsid w:val="00A45ED4"/>
    <w:rsid w:val="00A460DA"/>
    <w:rsid w:val="00A52679"/>
    <w:rsid w:val="00A570CB"/>
    <w:rsid w:val="00A62484"/>
    <w:rsid w:val="00A660E2"/>
    <w:rsid w:val="00A67804"/>
    <w:rsid w:val="00A67D82"/>
    <w:rsid w:val="00A741BF"/>
    <w:rsid w:val="00A80087"/>
    <w:rsid w:val="00A82E0E"/>
    <w:rsid w:val="00A87AE4"/>
    <w:rsid w:val="00A9302B"/>
    <w:rsid w:val="00A936A9"/>
    <w:rsid w:val="00A9548F"/>
    <w:rsid w:val="00A96077"/>
    <w:rsid w:val="00A97AE3"/>
    <w:rsid w:val="00AA02A8"/>
    <w:rsid w:val="00AB0177"/>
    <w:rsid w:val="00AB1617"/>
    <w:rsid w:val="00AB20FB"/>
    <w:rsid w:val="00AB2447"/>
    <w:rsid w:val="00AB58D1"/>
    <w:rsid w:val="00AB5BAA"/>
    <w:rsid w:val="00AB7BC7"/>
    <w:rsid w:val="00AC1184"/>
    <w:rsid w:val="00AC1DED"/>
    <w:rsid w:val="00AC32E9"/>
    <w:rsid w:val="00AC3A19"/>
    <w:rsid w:val="00AC5816"/>
    <w:rsid w:val="00AC6067"/>
    <w:rsid w:val="00AC7EB4"/>
    <w:rsid w:val="00AD1379"/>
    <w:rsid w:val="00AD403E"/>
    <w:rsid w:val="00AD53E1"/>
    <w:rsid w:val="00AD5C08"/>
    <w:rsid w:val="00AE0DB8"/>
    <w:rsid w:val="00AE6361"/>
    <w:rsid w:val="00AF2081"/>
    <w:rsid w:val="00B006BA"/>
    <w:rsid w:val="00B02ECF"/>
    <w:rsid w:val="00B035AD"/>
    <w:rsid w:val="00B0445F"/>
    <w:rsid w:val="00B06D9F"/>
    <w:rsid w:val="00B15B65"/>
    <w:rsid w:val="00B2077B"/>
    <w:rsid w:val="00B235F2"/>
    <w:rsid w:val="00B333E9"/>
    <w:rsid w:val="00B336A6"/>
    <w:rsid w:val="00B405FD"/>
    <w:rsid w:val="00B52BD3"/>
    <w:rsid w:val="00B559EA"/>
    <w:rsid w:val="00B600C0"/>
    <w:rsid w:val="00B6021E"/>
    <w:rsid w:val="00B618ED"/>
    <w:rsid w:val="00B62966"/>
    <w:rsid w:val="00B63E35"/>
    <w:rsid w:val="00B669DC"/>
    <w:rsid w:val="00B72AC7"/>
    <w:rsid w:val="00B734A7"/>
    <w:rsid w:val="00B740CA"/>
    <w:rsid w:val="00B75BDD"/>
    <w:rsid w:val="00B76C84"/>
    <w:rsid w:val="00B81D66"/>
    <w:rsid w:val="00B84E6F"/>
    <w:rsid w:val="00B87FB6"/>
    <w:rsid w:val="00B92C9B"/>
    <w:rsid w:val="00B9305A"/>
    <w:rsid w:val="00B93F71"/>
    <w:rsid w:val="00B9584F"/>
    <w:rsid w:val="00B95A37"/>
    <w:rsid w:val="00B96BBA"/>
    <w:rsid w:val="00B978E8"/>
    <w:rsid w:val="00BA2B2E"/>
    <w:rsid w:val="00BA39B5"/>
    <w:rsid w:val="00BA6440"/>
    <w:rsid w:val="00BB642D"/>
    <w:rsid w:val="00BB73DA"/>
    <w:rsid w:val="00BD6885"/>
    <w:rsid w:val="00BE0009"/>
    <w:rsid w:val="00BE6031"/>
    <w:rsid w:val="00BF1E37"/>
    <w:rsid w:val="00BF2E58"/>
    <w:rsid w:val="00BF5A5D"/>
    <w:rsid w:val="00C0750E"/>
    <w:rsid w:val="00C07FAC"/>
    <w:rsid w:val="00C13B38"/>
    <w:rsid w:val="00C142AC"/>
    <w:rsid w:val="00C15E56"/>
    <w:rsid w:val="00C16090"/>
    <w:rsid w:val="00C16652"/>
    <w:rsid w:val="00C20014"/>
    <w:rsid w:val="00C22A66"/>
    <w:rsid w:val="00C25BA5"/>
    <w:rsid w:val="00C30AD6"/>
    <w:rsid w:val="00C3170B"/>
    <w:rsid w:val="00C37768"/>
    <w:rsid w:val="00C42443"/>
    <w:rsid w:val="00C436CB"/>
    <w:rsid w:val="00C54749"/>
    <w:rsid w:val="00C55590"/>
    <w:rsid w:val="00C55AB5"/>
    <w:rsid w:val="00C565C9"/>
    <w:rsid w:val="00C6101F"/>
    <w:rsid w:val="00C61C08"/>
    <w:rsid w:val="00C642DE"/>
    <w:rsid w:val="00C66FDC"/>
    <w:rsid w:val="00C709D0"/>
    <w:rsid w:val="00C725F0"/>
    <w:rsid w:val="00C74D33"/>
    <w:rsid w:val="00C830B0"/>
    <w:rsid w:val="00C833C3"/>
    <w:rsid w:val="00C84861"/>
    <w:rsid w:val="00C910E4"/>
    <w:rsid w:val="00C953CE"/>
    <w:rsid w:val="00C979C6"/>
    <w:rsid w:val="00CA4717"/>
    <w:rsid w:val="00CA4735"/>
    <w:rsid w:val="00CB2C33"/>
    <w:rsid w:val="00CB4CF4"/>
    <w:rsid w:val="00CC4360"/>
    <w:rsid w:val="00CC4B07"/>
    <w:rsid w:val="00CC7916"/>
    <w:rsid w:val="00CD2F10"/>
    <w:rsid w:val="00CD3DBE"/>
    <w:rsid w:val="00CD4CC0"/>
    <w:rsid w:val="00CE0EEC"/>
    <w:rsid w:val="00CE269A"/>
    <w:rsid w:val="00CE34C0"/>
    <w:rsid w:val="00CE4985"/>
    <w:rsid w:val="00CE6EDF"/>
    <w:rsid w:val="00CF29F3"/>
    <w:rsid w:val="00D112E8"/>
    <w:rsid w:val="00D16DA0"/>
    <w:rsid w:val="00D16E93"/>
    <w:rsid w:val="00D1700D"/>
    <w:rsid w:val="00D20DAF"/>
    <w:rsid w:val="00D21393"/>
    <w:rsid w:val="00D23A63"/>
    <w:rsid w:val="00D260F0"/>
    <w:rsid w:val="00D33B2C"/>
    <w:rsid w:val="00D34BBC"/>
    <w:rsid w:val="00D355BF"/>
    <w:rsid w:val="00D36691"/>
    <w:rsid w:val="00D36A74"/>
    <w:rsid w:val="00D37290"/>
    <w:rsid w:val="00D40889"/>
    <w:rsid w:val="00D44BFC"/>
    <w:rsid w:val="00D4768F"/>
    <w:rsid w:val="00D51333"/>
    <w:rsid w:val="00D52743"/>
    <w:rsid w:val="00D5363D"/>
    <w:rsid w:val="00D60789"/>
    <w:rsid w:val="00D63568"/>
    <w:rsid w:val="00D679C0"/>
    <w:rsid w:val="00D75F6F"/>
    <w:rsid w:val="00D8203E"/>
    <w:rsid w:val="00D84748"/>
    <w:rsid w:val="00D909BE"/>
    <w:rsid w:val="00D96749"/>
    <w:rsid w:val="00D97303"/>
    <w:rsid w:val="00D9789D"/>
    <w:rsid w:val="00D97FF9"/>
    <w:rsid w:val="00DA61F6"/>
    <w:rsid w:val="00DA6C88"/>
    <w:rsid w:val="00DB4EAF"/>
    <w:rsid w:val="00DB56C6"/>
    <w:rsid w:val="00DC1BC7"/>
    <w:rsid w:val="00DC221E"/>
    <w:rsid w:val="00DC33EC"/>
    <w:rsid w:val="00DD0750"/>
    <w:rsid w:val="00DD2827"/>
    <w:rsid w:val="00DD3389"/>
    <w:rsid w:val="00DD41A4"/>
    <w:rsid w:val="00DD5C4C"/>
    <w:rsid w:val="00DD77FD"/>
    <w:rsid w:val="00DD7973"/>
    <w:rsid w:val="00DE19AA"/>
    <w:rsid w:val="00DF0BD3"/>
    <w:rsid w:val="00DF32CD"/>
    <w:rsid w:val="00DF39AC"/>
    <w:rsid w:val="00DF64A6"/>
    <w:rsid w:val="00E04874"/>
    <w:rsid w:val="00E078D8"/>
    <w:rsid w:val="00E1164E"/>
    <w:rsid w:val="00E11C55"/>
    <w:rsid w:val="00E162D4"/>
    <w:rsid w:val="00E172DB"/>
    <w:rsid w:val="00E221E5"/>
    <w:rsid w:val="00E22595"/>
    <w:rsid w:val="00E22C05"/>
    <w:rsid w:val="00E33CB6"/>
    <w:rsid w:val="00E34B91"/>
    <w:rsid w:val="00E41248"/>
    <w:rsid w:val="00E41F5D"/>
    <w:rsid w:val="00E52ECF"/>
    <w:rsid w:val="00E53F29"/>
    <w:rsid w:val="00E615EC"/>
    <w:rsid w:val="00E61D4B"/>
    <w:rsid w:val="00E636D4"/>
    <w:rsid w:val="00E64F96"/>
    <w:rsid w:val="00E65E94"/>
    <w:rsid w:val="00E719A9"/>
    <w:rsid w:val="00E738D0"/>
    <w:rsid w:val="00E74864"/>
    <w:rsid w:val="00E768D7"/>
    <w:rsid w:val="00E77D47"/>
    <w:rsid w:val="00E82256"/>
    <w:rsid w:val="00E83CB8"/>
    <w:rsid w:val="00E84A5E"/>
    <w:rsid w:val="00E86F67"/>
    <w:rsid w:val="00E8717C"/>
    <w:rsid w:val="00E90B80"/>
    <w:rsid w:val="00E92E8C"/>
    <w:rsid w:val="00E93175"/>
    <w:rsid w:val="00E93E20"/>
    <w:rsid w:val="00EA5B0F"/>
    <w:rsid w:val="00EA5E00"/>
    <w:rsid w:val="00EB1697"/>
    <w:rsid w:val="00EB404D"/>
    <w:rsid w:val="00EB4EBA"/>
    <w:rsid w:val="00EB51F6"/>
    <w:rsid w:val="00EB75DD"/>
    <w:rsid w:val="00EC01DD"/>
    <w:rsid w:val="00EC3104"/>
    <w:rsid w:val="00EC7059"/>
    <w:rsid w:val="00ED6AE1"/>
    <w:rsid w:val="00ED6DAE"/>
    <w:rsid w:val="00ED71BD"/>
    <w:rsid w:val="00EE0958"/>
    <w:rsid w:val="00EE120A"/>
    <w:rsid w:val="00EE48F5"/>
    <w:rsid w:val="00EE62F5"/>
    <w:rsid w:val="00EF54DF"/>
    <w:rsid w:val="00EF73A0"/>
    <w:rsid w:val="00F0132C"/>
    <w:rsid w:val="00F04119"/>
    <w:rsid w:val="00F04B38"/>
    <w:rsid w:val="00F0649C"/>
    <w:rsid w:val="00F07ED9"/>
    <w:rsid w:val="00F10C69"/>
    <w:rsid w:val="00F13B24"/>
    <w:rsid w:val="00F15C91"/>
    <w:rsid w:val="00F17667"/>
    <w:rsid w:val="00F20CE9"/>
    <w:rsid w:val="00F2138C"/>
    <w:rsid w:val="00F24348"/>
    <w:rsid w:val="00F358FB"/>
    <w:rsid w:val="00F37E02"/>
    <w:rsid w:val="00F42422"/>
    <w:rsid w:val="00F42782"/>
    <w:rsid w:val="00F52626"/>
    <w:rsid w:val="00F54646"/>
    <w:rsid w:val="00F54F79"/>
    <w:rsid w:val="00F65F84"/>
    <w:rsid w:val="00F663B2"/>
    <w:rsid w:val="00F663E4"/>
    <w:rsid w:val="00F70196"/>
    <w:rsid w:val="00F708C2"/>
    <w:rsid w:val="00F70A68"/>
    <w:rsid w:val="00F736BD"/>
    <w:rsid w:val="00F75079"/>
    <w:rsid w:val="00F8358B"/>
    <w:rsid w:val="00F90138"/>
    <w:rsid w:val="00F948D7"/>
    <w:rsid w:val="00FA2918"/>
    <w:rsid w:val="00FA3D87"/>
    <w:rsid w:val="00FB4ED2"/>
    <w:rsid w:val="00FC055A"/>
    <w:rsid w:val="00FC08F1"/>
    <w:rsid w:val="00FC2BFB"/>
    <w:rsid w:val="00FC30F6"/>
    <w:rsid w:val="00FC3555"/>
    <w:rsid w:val="00FC3C29"/>
    <w:rsid w:val="00FC3DD3"/>
    <w:rsid w:val="00FC3F9D"/>
    <w:rsid w:val="00FC65D4"/>
    <w:rsid w:val="00FC6F44"/>
    <w:rsid w:val="00FD2045"/>
    <w:rsid w:val="00FD22CA"/>
    <w:rsid w:val="00FD2EC5"/>
    <w:rsid w:val="00FD4665"/>
    <w:rsid w:val="00FD6791"/>
    <w:rsid w:val="00FD6F43"/>
    <w:rsid w:val="00FE0F2F"/>
    <w:rsid w:val="00FE1863"/>
    <w:rsid w:val="00FE1C09"/>
    <w:rsid w:val="00FE1EA9"/>
    <w:rsid w:val="00FE3803"/>
    <w:rsid w:val="00FE5492"/>
    <w:rsid w:val="00FE5F99"/>
    <w:rsid w:val="00FF06F8"/>
    <w:rsid w:val="00FF204E"/>
    <w:rsid w:val="00FF3D6A"/>
    <w:rsid w:val="00FF49D0"/>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2045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54783555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17517</Words>
  <Characters>99848</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2026-09-12T04:11:00Z</cp:lastPrinted>
  <dcterms:created xsi:type="dcterms:W3CDTF">2026-09-18T02:49:00Z</dcterms:created>
  <dcterms:modified xsi:type="dcterms:W3CDTF">2026-09-18T02:49:00Z</dcterms:modified>
</cp:coreProperties>
</file>