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9678B" w14:textId="77777777" w:rsidR="00367C0A" w:rsidRDefault="00902A3A">
      <w:pPr>
        <w:pStyle w:val="Heading1"/>
      </w:pPr>
      <w:bookmarkStart w:id="0" w:name="_Toc240534678"/>
      <w:r>
        <w:t>BAB IV</w:t>
      </w:r>
      <w:bookmarkEnd w:id="0"/>
    </w:p>
    <w:p w14:paraId="5C0628EB" w14:textId="77777777" w:rsidR="00367C0A" w:rsidRDefault="00902A3A">
      <w:pPr>
        <w:pStyle w:val="Heading1"/>
      </w:pPr>
      <w:bookmarkStart w:id="1" w:name="_Toc231843357"/>
      <w:bookmarkStart w:id="2" w:name="_Toc240534679"/>
      <w:r>
        <w:t>HASIL DAN PEMBAHASAN</w:t>
      </w:r>
      <w:bookmarkEnd w:id="1"/>
      <w:bookmarkEnd w:id="2"/>
    </w:p>
    <w:p w14:paraId="735CAF03" w14:textId="77777777" w:rsidR="00367C0A" w:rsidRDefault="00367C0A">
      <w:pPr>
        <w:rPr>
          <w:lang w:val="en-US"/>
        </w:rPr>
      </w:pPr>
    </w:p>
    <w:p w14:paraId="45B2F8A8" w14:textId="77777777" w:rsidR="00367C0A" w:rsidRDefault="00902A3A" w:rsidP="004402A7">
      <w:pPr>
        <w:pStyle w:val="Heading2"/>
        <w:spacing w:line="526" w:lineRule="auto"/>
        <w:ind w:left="709" w:hanging="709"/>
        <w:jc w:val="both"/>
        <w:rPr>
          <w:sz w:val="36"/>
          <w:szCs w:val="36"/>
        </w:rPr>
      </w:pPr>
      <w:bookmarkStart w:id="3" w:name="_Toc240534680"/>
      <w:r>
        <w:t xml:space="preserve">A. </w:t>
      </w:r>
      <w:r>
        <w:tab/>
      </w:r>
      <w:proofErr w:type="spellStart"/>
      <w:r>
        <w:t>Bentuk</w:t>
      </w:r>
      <w:proofErr w:type="spellEnd"/>
      <w:r>
        <w:t xml:space="preserve"> </w:t>
      </w:r>
      <w:proofErr w:type="spellStart"/>
      <w:r>
        <w:t>Tindak</w:t>
      </w:r>
      <w:proofErr w:type="spellEnd"/>
      <w:r>
        <w:t xml:space="preserve"> Pidana </w:t>
      </w:r>
      <w:proofErr w:type="spellStart"/>
      <w:r>
        <w:t>Pencurian</w:t>
      </w:r>
      <w:proofErr w:type="spellEnd"/>
      <w:r>
        <w:t xml:space="preserve"> yang </w:t>
      </w:r>
      <w:proofErr w:type="spellStart"/>
      <w:r>
        <w:t>Dilakukan</w:t>
      </w:r>
      <w:proofErr w:type="spellEnd"/>
      <w:r>
        <w:t xml:space="preserve"> </w:t>
      </w:r>
      <w:proofErr w:type="spellStart"/>
      <w:r>
        <w:t>Secara</w:t>
      </w:r>
      <w:proofErr w:type="spellEnd"/>
      <w:r>
        <w:t xml:space="preserve"> Bersama-Sama </w:t>
      </w:r>
      <w:proofErr w:type="spellStart"/>
      <w:r>
        <w:t>terhadap</w:t>
      </w:r>
      <w:proofErr w:type="spellEnd"/>
      <w:r>
        <w:t xml:space="preserve"> </w:t>
      </w:r>
      <w:proofErr w:type="spellStart"/>
      <w:r>
        <w:t>Becak</w:t>
      </w:r>
      <w:proofErr w:type="spellEnd"/>
      <w:r>
        <w:t xml:space="preserve"> </w:t>
      </w:r>
      <w:proofErr w:type="spellStart"/>
      <w:r>
        <w:t>Bermotor</w:t>
      </w:r>
      <w:proofErr w:type="spellEnd"/>
      <w:r>
        <w:t xml:space="preserve"> di Wilayah Hukum Polsek Stabat</w:t>
      </w:r>
      <w:bookmarkEnd w:id="3"/>
    </w:p>
    <w:p w14:paraId="7DFA1487" w14:textId="77777777" w:rsidR="00367C0A" w:rsidRDefault="00902A3A" w:rsidP="004402A7">
      <w:pPr>
        <w:spacing w:line="526" w:lineRule="auto"/>
        <w:ind w:firstLine="709"/>
        <w:jc w:val="both"/>
      </w:pPr>
      <w:r>
        <w:t>Tindak pidana pencurian terhadap becak bermotor merupakan salah satu bentuk kejahatan terhadap harta benda yang sering menimbulkan keresahan di tengah masyarakat. Hal ini disebabkan becak bermotor bukan hanya memiliki nilai ekonomi, tetapi juga menjadi sarana kerja bagi sebagian masyarakat untuk memenuhi kebutuhan hidup sehari-hari. Dalam keadaan demikian, analisis terhadap pencurian becak bermotor perlu ditempatkan tidak hanya sebagai pelanggaran terhadap harta kekayaan, tetapi juga sebagai gangguan terhadap rasa aman masyarakat di lingkungan tempat kejadian.</w:t>
      </w:r>
      <w:r>
        <w:rPr>
          <w:rStyle w:val="FootnoteReference"/>
        </w:rPr>
        <w:footnoteReference w:id="1"/>
      </w:r>
      <w:r>
        <w:t xml:space="preserve"> </w:t>
      </w:r>
    </w:p>
    <w:p w14:paraId="7DF27487" w14:textId="77777777" w:rsidR="00367C0A" w:rsidRDefault="00902A3A" w:rsidP="004402A7">
      <w:pPr>
        <w:spacing w:line="526" w:lineRule="auto"/>
        <w:ind w:firstLine="709"/>
        <w:jc w:val="both"/>
      </w:pPr>
      <w:r>
        <w:t>Dalam perkara pencurian becak bermotor, kerugian korban tidak hanya diukur dari harga kendaraan yang hilang. Lebih dari itu, korban juga dapat kehilangan sumber penghasilan, terutama apabila becak bermotor tersebut digunakan sebagai alat transportasi untuk mencari nafkah. Keadaan ini memperlihatkan bahwa nilai kerugian dalam perkara pencurian kendaraan tidak semata-mata bersifat materiel, melainkan juga berkaitan dengan kelangsungan aktivitas ekonomi korban setelah peristiwa terjadi.</w:t>
      </w:r>
      <w:r>
        <w:rPr>
          <w:rStyle w:val="FootnoteReference"/>
        </w:rPr>
        <w:footnoteReference w:id="2"/>
      </w:r>
    </w:p>
    <w:p w14:paraId="596D580D" w14:textId="77777777" w:rsidR="00367C0A" w:rsidRDefault="00902A3A" w:rsidP="004402A7">
      <w:pPr>
        <w:spacing w:line="526" w:lineRule="auto"/>
        <w:ind w:firstLine="709"/>
        <w:jc w:val="both"/>
      </w:pPr>
      <w:r>
        <w:lastRenderedPageBreak/>
        <w:t>Pencurian dalam hukum pidana pada dasarnya merupakan perbuatan mengambil barang milik orang lain dengan maksud untuk dimiliki secara melawan hukum. Oleh karena itu, untuk menentukan suatu peristiwa sebagai pencurian, penyidik harus terlebih dahulu membuktikan adanya unsur mengambil, barang, milik orang lain, dan maksud memiliki secara melawan hukum. Unsur-unsur tersebut harus dibaca secara kumulatif karena apabila salah satu unsur tidak terbukti, maka konstruksi pencurian tidak dapat dibangun secara utuh dalam proses penyidikan.</w:t>
      </w:r>
      <w:r>
        <w:rPr>
          <w:rStyle w:val="FootnoteReference"/>
        </w:rPr>
        <w:footnoteReference w:id="3"/>
      </w:r>
      <w:r>
        <w:t xml:space="preserve"> </w:t>
      </w:r>
    </w:p>
    <w:p w14:paraId="52D7D20C" w14:textId="77777777" w:rsidR="00367C0A" w:rsidRDefault="00902A3A" w:rsidP="004402A7">
      <w:pPr>
        <w:spacing w:line="526" w:lineRule="auto"/>
        <w:ind w:firstLine="709"/>
        <w:jc w:val="both"/>
      </w:pPr>
      <w:r>
        <w:t xml:space="preserve">Berdasarkan hasil wawancara dengan IPDA </w:t>
      </w:r>
      <w:proofErr w:type="spellStart"/>
      <w:r>
        <w:t>Sihar</w:t>
      </w:r>
      <w:proofErr w:type="spellEnd"/>
      <w:r>
        <w:t xml:space="preserve"> M.T. Sihotang, S.H. pada tanggal 01 Juni 2026, dijelaskan bahwa perkara pencurian becak bermotor biasanya diawali dengan adanya laporan dari korban kepada pihak kepolisian. Laporan tersebut kemudian menjadi dasar bagi penyidik untuk melakukan pemeriksaan awal terhadap korban dan mencari keterangan saksi di sekitar lokasi kejadian. Dari laporan awal tersebut, penyidik kemudian menelusuri hubungan antara waktu kejadian, lokasi kendaraan terakhir berada, dan pihak-pihak yang diduga mengetahui peristiwa kehilangan tersebut.</w:t>
      </w:r>
      <w:r>
        <w:rPr>
          <w:rStyle w:val="FootnoteReference"/>
        </w:rPr>
        <w:footnoteReference w:id="4"/>
      </w:r>
      <w:r>
        <w:t xml:space="preserve"> </w:t>
      </w:r>
    </w:p>
    <w:p w14:paraId="3CA202B5" w14:textId="77777777" w:rsidR="00367C0A" w:rsidRDefault="00902A3A" w:rsidP="004402A7">
      <w:pPr>
        <w:spacing w:line="526" w:lineRule="auto"/>
        <w:ind w:firstLine="709"/>
        <w:jc w:val="both"/>
      </w:pPr>
      <w:r>
        <w:t xml:space="preserve">Bentuk tindak pidana pencurian dalam perkara ini tidak hanya dipahami sebagai pencurian biasa, melainkan pencurian yang dilakukan secara bersama-sama. Hal ini disebabkan adanya keterlibatan lebih dari satu orang dalam rangkaian perbuatan, baik ketika merencanakan, mengambil, membawa, maupun </w:t>
      </w:r>
      <w:r>
        <w:lastRenderedPageBreak/>
        <w:t>menyembunyikan becak bermotor hasil curian. Keterlibatan lebih dari satu orang inilah yang kemudian membedakan perkara ini dari pencurian biasa, karena penyidik harus mencari hubungan perbuatan antara satu pelaku dengan pelaku lainnya.</w:t>
      </w:r>
      <w:r>
        <w:rPr>
          <w:rStyle w:val="FootnoteReference"/>
        </w:rPr>
        <w:footnoteReference w:id="5"/>
      </w:r>
      <w:r>
        <w:t xml:space="preserve"> </w:t>
      </w:r>
    </w:p>
    <w:p w14:paraId="2E4EA642" w14:textId="77777777" w:rsidR="00367C0A" w:rsidRDefault="00902A3A" w:rsidP="004402A7">
      <w:pPr>
        <w:spacing w:line="526" w:lineRule="auto"/>
        <w:ind w:firstLine="709"/>
        <w:jc w:val="both"/>
      </w:pPr>
      <w:r>
        <w:t>Pencurian secara bersama-sama menunjukkan bahwa perbuatan pidana tersebut dilakukan melalui adanya hubungan kerja sama antara para pelaku. Kerja sama tersebut dapat terlihat dari pembagian tindakan, seperti ada yang mengambil kendaraan, ada yang mengawasi keadaan, dan ada yang membantu membawa kendaraan. Oleh sebab itu, bentuk kerja sama para pelaku tidak harus selalu ditunjukkan melalui pembagian tugas yang formal, tetapi cukup terlihat dari tindakan yang saling mendukung dalam mewujudkan pencurian.</w:t>
      </w:r>
      <w:r>
        <w:rPr>
          <w:rStyle w:val="FootnoteReference"/>
        </w:rPr>
        <w:footnoteReference w:id="6"/>
      </w:r>
      <w:r>
        <w:t xml:space="preserve"> </w:t>
      </w:r>
    </w:p>
    <w:p w14:paraId="1A4CF6EA" w14:textId="77777777" w:rsidR="00367C0A" w:rsidRDefault="00902A3A" w:rsidP="004402A7">
      <w:pPr>
        <w:spacing w:line="526" w:lineRule="auto"/>
        <w:ind w:firstLine="709"/>
        <w:jc w:val="both"/>
      </w:pPr>
      <w:r>
        <w:t>Menurut AIPTU Suseno dalam wawancara tanggal 01 Juni 2026, penyidik menilai bentuk pencurian secara bersama-sama dari adanya hubungan antara tindakan para pelaku. Apabila tindakan para pelaku saling mendukung dan mengarah pada tujuan yang sama, maka perbuatan tersebut dapat dikonstruksikan sebagai pencurian yang dilakukan secara bersama-sama. Keterangan tersebut menunjukkan bahwa penyidik menggunakan pendekatan faktual, yaitu melihat kesesuaian antara tindakan para pelaku dan akibat yang ditimbulkan terhadap korban.</w:t>
      </w:r>
      <w:r>
        <w:rPr>
          <w:rStyle w:val="FootnoteReference"/>
        </w:rPr>
        <w:footnoteReference w:id="7"/>
      </w:r>
      <w:r>
        <w:t xml:space="preserve"> </w:t>
      </w:r>
    </w:p>
    <w:p w14:paraId="15A926AF" w14:textId="77777777" w:rsidR="00367C0A" w:rsidRDefault="00902A3A" w:rsidP="004402A7">
      <w:pPr>
        <w:spacing w:line="526" w:lineRule="auto"/>
        <w:ind w:firstLine="709"/>
        <w:jc w:val="both"/>
      </w:pPr>
      <w:r>
        <w:lastRenderedPageBreak/>
        <w:t>Becak bermotor sebagai objek pencurian termasuk barang bergerak karena dapat dipindahkan dari satu tempat ke tempat lain. Dalam hukum pidana, barang bergerak merupakan salah satu objek yang dapat menjadi sasaran tindak pidana pencurian. Kedudukan becak bermotor sebagai barang bergerak menjadi penting karena barang tersebut dapat dialihkan penguasaannya secara fisik dari korban kepada pelaku dalam waktu relatif singkat.</w:t>
      </w:r>
      <w:r>
        <w:rPr>
          <w:rStyle w:val="FootnoteReference"/>
        </w:rPr>
        <w:footnoteReference w:id="8"/>
      </w:r>
      <w:r>
        <w:t xml:space="preserve"> </w:t>
      </w:r>
    </w:p>
    <w:p w14:paraId="153DB97B" w14:textId="77777777" w:rsidR="00367C0A" w:rsidRDefault="00902A3A" w:rsidP="004402A7">
      <w:pPr>
        <w:spacing w:line="526" w:lineRule="auto"/>
        <w:ind w:firstLine="709"/>
        <w:jc w:val="both"/>
      </w:pPr>
      <w:r>
        <w:t>Unsur “mengambil” dalam tindak pidana pencurian tidak harus menunggu sampai barang tersebut dikuasai dalam waktu lama oleh pelaku. Unsur tersebut sudah dapat terpenuhi ketika pelaku berhasil memindahkan penguasaan barang dari korban kepada dirinya atau kepada kelompok pelaku. Pemahaman ini penting agar unsur mengambil tidak dipersempit hanya pada keadaan ketika barang telah berhasil dijual atau dinikmati hasilnya oleh pelaku.</w:t>
      </w:r>
      <w:r>
        <w:rPr>
          <w:rStyle w:val="FootnoteReference"/>
        </w:rPr>
        <w:footnoteReference w:id="9"/>
      </w:r>
    </w:p>
    <w:p w14:paraId="7C01561B" w14:textId="77777777" w:rsidR="00367C0A" w:rsidRDefault="00902A3A" w:rsidP="004402A7">
      <w:pPr>
        <w:spacing w:line="526" w:lineRule="auto"/>
        <w:ind w:firstLine="709"/>
        <w:jc w:val="both"/>
      </w:pPr>
      <w:r>
        <w:t>Dalam perkara pencurian becak bermotor, perbuatan mengambil dapat terlihat ketika kendaraan dipindahkan dari tempat semula tanpa seizin pemiliknya. Perpindahan penguasaan tersebut menunjukkan bahwa korban telah kehilangan kendali atas barang miliknya. Dengan berpindahnya penguasaan tersebut, korban tidak lagi dapat menggunakan kendaraan sebagaimana mestinya, sehingga akibat hukum dari perbuatan pelaku telah nyata terjadi.</w:t>
      </w:r>
      <w:r>
        <w:rPr>
          <w:rStyle w:val="FootnoteReference"/>
        </w:rPr>
        <w:footnoteReference w:id="10"/>
      </w:r>
      <w:r>
        <w:t xml:space="preserve"> </w:t>
      </w:r>
    </w:p>
    <w:p w14:paraId="5A515360" w14:textId="77777777" w:rsidR="00367C0A" w:rsidRDefault="00902A3A" w:rsidP="004402A7">
      <w:pPr>
        <w:spacing w:line="526" w:lineRule="auto"/>
        <w:ind w:firstLine="709"/>
        <w:jc w:val="both"/>
      </w:pPr>
      <w:r>
        <w:lastRenderedPageBreak/>
        <w:t>Unsur “milik orang lain” juga menjadi bagian penting dalam membuktikan bentuk pencurian. Penyidik harus memastikan bahwa becak bermotor yang menjadi objek perkara benar-benar milik korban atau setidaknya berada dalam penguasaan sah korban. Kepastian mengenai kepemilikan atau penguasaan sah korban menjadi dasar untuk membedakan pencurian dengan sengketa kepemilikan biasa.</w:t>
      </w:r>
      <w:r>
        <w:rPr>
          <w:rStyle w:val="FootnoteReference"/>
        </w:rPr>
        <w:footnoteReference w:id="11"/>
      </w:r>
    </w:p>
    <w:p w14:paraId="7CF87698" w14:textId="77777777" w:rsidR="00367C0A" w:rsidRDefault="00902A3A" w:rsidP="004402A7">
      <w:pPr>
        <w:spacing w:line="526" w:lineRule="auto"/>
        <w:ind w:firstLine="709"/>
        <w:jc w:val="both"/>
      </w:pPr>
      <w:r>
        <w:t>Pembuktian kepemilikan atau penguasaan becak bermotor dapat dilakukan melalui keterangan korban, dokumen kendaraan, atau keterangan saksi. Bukti tersebut penting agar objek tindak pidana tidak menimbulkan keraguan dalam proses penyidikan. Dalam perkara kendaraan, bukti penguasaan juga dapat diperkuat melalui keterangan pihak keluarga atau masyarakat sekitar yang mengetahui penggunaan becak bermotor tersebut oleh korban.</w:t>
      </w:r>
      <w:r>
        <w:rPr>
          <w:rStyle w:val="FootnoteReference"/>
        </w:rPr>
        <w:footnoteReference w:id="12"/>
      </w:r>
      <w:r>
        <w:t xml:space="preserve"> </w:t>
      </w:r>
    </w:p>
    <w:p w14:paraId="62EA948F" w14:textId="77777777" w:rsidR="00367C0A" w:rsidRDefault="00902A3A" w:rsidP="004402A7">
      <w:pPr>
        <w:spacing w:line="526" w:lineRule="auto"/>
        <w:ind w:firstLine="709"/>
        <w:jc w:val="both"/>
      </w:pPr>
      <w:r>
        <w:t>Unsur “maksud untuk memiliki secara melawan hukum” dapat dilihat dari tindakan pelaku setelah mengambil becak bermotor. Apabila pelaku membawa kendaraan, menyembunyikan, membongkar, atau berusaha menjualnya, maka tindakan tersebut menunjukkan adanya kehendak untuk menguasai barang secara tidak sah. Rangkaian tindakan setelah pengambilan menjadi petunjuk penting untuk menilai bahwa pelaku memang memiliki tujuan menguasai barang secara bertentangan dengan hukum.</w:t>
      </w:r>
      <w:r>
        <w:rPr>
          <w:rStyle w:val="FootnoteReference"/>
        </w:rPr>
        <w:footnoteReference w:id="13"/>
      </w:r>
      <w:r>
        <w:t xml:space="preserve"> </w:t>
      </w:r>
    </w:p>
    <w:p w14:paraId="5C522F27" w14:textId="77777777" w:rsidR="00367C0A" w:rsidRDefault="00902A3A" w:rsidP="004402A7">
      <w:pPr>
        <w:spacing w:line="526" w:lineRule="auto"/>
        <w:ind w:firstLine="709"/>
        <w:jc w:val="both"/>
      </w:pPr>
      <w:r>
        <w:lastRenderedPageBreak/>
        <w:t xml:space="preserve">Berdasarkan hasil wawancara dengan IPDA </w:t>
      </w:r>
      <w:proofErr w:type="spellStart"/>
      <w:r>
        <w:t>Sihar</w:t>
      </w:r>
      <w:proofErr w:type="spellEnd"/>
      <w:r>
        <w:t xml:space="preserve"> M.T. Sihotang, S.H., penyidik tidak hanya menilai peristiwa dari laporan korban, tetapi juga dari barang bukti dan keterangan saksi. Hal ini dilakukan agar penyidik dapat memastikan bahwa peristiwa tersebut benar merupakan tindak pidana pencurian. Cara ini menunjukkan bahwa penyidik tetap berupaya menjaga objektivitas penanganan perkara agar konstruksi hukum tidak dibangun hanya berdasarkan pengakuan satu pihak.</w:t>
      </w:r>
      <w:r>
        <w:rPr>
          <w:rStyle w:val="FootnoteReference"/>
        </w:rPr>
        <w:footnoteReference w:id="14"/>
      </w:r>
      <w:r>
        <w:t xml:space="preserve"> </w:t>
      </w:r>
    </w:p>
    <w:p w14:paraId="57E7D903" w14:textId="77777777" w:rsidR="00367C0A" w:rsidRDefault="00902A3A" w:rsidP="004402A7">
      <w:pPr>
        <w:spacing w:line="526" w:lineRule="auto"/>
        <w:ind w:firstLine="709"/>
        <w:jc w:val="both"/>
      </w:pPr>
      <w:r>
        <w:t xml:space="preserve">Pencurian secara bersama-sama memiliki sifat yang lebih serius dibandingkan pencurian yang dilakukan seorang diri. Hal ini karena keterlibatan beberapa orang dapat mempermudah terlaksananya tindak pidana dan memperkecil kemungkinan pelaku diketahui oleh korban atau masyarakat. Semakin banyak pelaku yang terlibat, semakin besar pula kemungkinan tindak pidana dapat terlaksana karena adanya dukungan tenaga, informasi, dan keberanian </w:t>
      </w:r>
      <w:proofErr w:type="spellStart"/>
      <w:r>
        <w:t>antarpelaku</w:t>
      </w:r>
      <w:proofErr w:type="spellEnd"/>
      <w:r>
        <w:t>.</w:t>
      </w:r>
      <w:r>
        <w:rPr>
          <w:rStyle w:val="FootnoteReference"/>
        </w:rPr>
        <w:footnoteReference w:id="15"/>
      </w:r>
      <w:r>
        <w:t xml:space="preserve"> </w:t>
      </w:r>
    </w:p>
    <w:p w14:paraId="747D2CDE" w14:textId="77777777" w:rsidR="00367C0A" w:rsidRDefault="00902A3A" w:rsidP="004402A7">
      <w:pPr>
        <w:spacing w:line="526" w:lineRule="auto"/>
        <w:ind w:firstLine="709"/>
        <w:jc w:val="both"/>
      </w:pPr>
      <w:r>
        <w:t xml:space="preserve">Unsur bersama-sama tidak dapat hanya disimpulkan dari jumlah orang yang berada di lokasi kejadian. Penyidik tetap harus membuktikan bahwa orang-orang tersebut memiliki kesadaran dan peran dalam mendukung perbuatan pencurian. Dengan demikian, unsur bersama-sama harus dibuktikan melalui tindakan konkret, </w:t>
      </w:r>
      <w:r>
        <w:lastRenderedPageBreak/>
        <w:t>bukan sekadar dugaan karena seseorang berada di tempat yang sama dengan pelaku utama.</w:t>
      </w:r>
      <w:r>
        <w:rPr>
          <w:rStyle w:val="FootnoteReference"/>
        </w:rPr>
        <w:footnoteReference w:id="16"/>
      </w:r>
      <w:r>
        <w:t xml:space="preserve"> </w:t>
      </w:r>
    </w:p>
    <w:p w14:paraId="012F2641" w14:textId="77777777" w:rsidR="00367C0A" w:rsidRDefault="00902A3A" w:rsidP="004402A7">
      <w:pPr>
        <w:spacing w:line="526" w:lineRule="auto"/>
        <w:ind w:firstLine="709"/>
        <w:jc w:val="both"/>
      </w:pPr>
      <w:r>
        <w:t>Dalam perkara pencurian becak bermotor, bentuk kerja sama para pelaku dapat muncul secara terencana maupun spontan. Walaupun tidak direncanakan secara matang, apabila para pelaku sama-sama memahami dan ikut mendukung pencurian, maka unsur bersama-sama tetap dapat dipertimbangkan. Hal ini menunjukkan bahwa dalam perkara pencurian bersama-sama, kesatuan kehendak dapat muncul melalui situasi lapangan dan tidak selalu lahir dari rencana yang disusun jauh sebelumnya.</w:t>
      </w:r>
      <w:r>
        <w:rPr>
          <w:rStyle w:val="FootnoteReference"/>
        </w:rPr>
        <w:footnoteReference w:id="17"/>
      </w:r>
      <w:r>
        <w:t xml:space="preserve"> </w:t>
      </w:r>
    </w:p>
    <w:p w14:paraId="08DB4AC8" w14:textId="77777777" w:rsidR="00367C0A" w:rsidRDefault="00902A3A" w:rsidP="004402A7">
      <w:pPr>
        <w:spacing w:line="526" w:lineRule="auto"/>
        <w:ind w:firstLine="709"/>
        <w:jc w:val="both"/>
      </w:pPr>
      <w:r>
        <w:t>Menurut AIPTU Suseno, dalam praktik penyidikan sering ditemukan pelaku yang berusaha menyatakan bahwa dirinya hanya ikut menemani. Namun, penyidik tetap melihat apakah orang tersebut melakukan tindakan yang memudahkan pencurian, seperti mengawasi keadaan atau membantu membawa kendaraan. Oleh karena itu, keterangan pelaku yang mengaku hanya menemani tetap harus diuji dengan tindakan nyata yang dilakukan sebelum, saat, dan setelah pencurian berlangsung.</w:t>
      </w:r>
      <w:r>
        <w:rPr>
          <w:rStyle w:val="FootnoteReference"/>
        </w:rPr>
        <w:footnoteReference w:id="18"/>
      </w:r>
      <w:r>
        <w:t xml:space="preserve"> </w:t>
      </w:r>
    </w:p>
    <w:p w14:paraId="5FD092DA" w14:textId="77777777" w:rsidR="00367C0A" w:rsidRDefault="00902A3A" w:rsidP="004402A7">
      <w:pPr>
        <w:spacing w:line="526" w:lineRule="auto"/>
        <w:ind w:firstLine="709"/>
        <w:jc w:val="both"/>
      </w:pPr>
      <w:r>
        <w:t xml:space="preserve">Bentuk tindak pidana pencurian bersama-sama juga dapat dilihat dari rangkaian perbuatan sebelum, saat, dan setelah pencurian. Apabila sejak awal para pelaku sudah saling berkomunikasi, mendatangi lokasi bersama, dan membawa </w:t>
      </w:r>
      <w:r>
        <w:lastRenderedPageBreak/>
        <w:t>hasil curian bersama, maka rangkaian tersebut menunjukkan adanya keterlibatan bersama. Rangkaian tersebut membantu penyidik melihat apakah perbuatan para pelaku merupakan tindakan yang berdiri sendiri atau merupakan satu kesatuan dalam pencurian.</w:t>
      </w:r>
      <w:r>
        <w:rPr>
          <w:rStyle w:val="FootnoteReference"/>
        </w:rPr>
        <w:footnoteReference w:id="19"/>
      </w:r>
      <w:r>
        <w:t xml:space="preserve"> </w:t>
      </w:r>
    </w:p>
    <w:p w14:paraId="5F9EA360" w14:textId="77777777" w:rsidR="00367C0A" w:rsidRDefault="00902A3A" w:rsidP="004402A7">
      <w:pPr>
        <w:spacing w:line="526" w:lineRule="auto"/>
        <w:ind w:firstLine="709"/>
        <w:jc w:val="both"/>
      </w:pPr>
      <w:r>
        <w:t>Dalam perkara ini, keberadaan barang bukti sangat penting untuk memperjelas bentuk tindak pidana. Barang bukti dapat berupa becak bermotor yang dicuri, kunci kendaraan, alat yang digunakan, atau bagian kendaraan yang dilepas oleh pelaku. Barang bukti tidak hanya berfungsi sebagai benda yang disita, tetapi juga sebagai sarana untuk menghubungkan fakta kejadian dengan unsur-unsur pasal yang disangkakan.</w:t>
      </w:r>
      <w:r>
        <w:rPr>
          <w:rStyle w:val="FootnoteReference"/>
        </w:rPr>
        <w:footnoteReference w:id="20"/>
      </w:r>
      <w:r>
        <w:t xml:space="preserve"> </w:t>
      </w:r>
    </w:p>
    <w:p w14:paraId="63EE8ADD" w14:textId="77777777" w:rsidR="00367C0A" w:rsidRDefault="00902A3A" w:rsidP="004402A7">
      <w:pPr>
        <w:spacing w:line="526" w:lineRule="auto"/>
        <w:ind w:firstLine="709"/>
        <w:jc w:val="both"/>
      </w:pPr>
      <w:r>
        <w:t>Barang bukti juga dapat membantu penyidik menghubungkan para pelaku dengan peristiwa pencurian. Misalnya, apabila bagian kendaraan ditemukan pada salah satu pelaku, maka hal tersebut dapat menjadi petunjuk keterlibatan pelaku dalam tindak pidana. Keberadaan barang bukti pada salah satu pelaku dapat memperkuat dugaan adanya penguasaan hasil kejahatan sekaligus memperjelas posisi pelaku dalam perkara.</w:t>
      </w:r>
      <w:r>
        <w:rPr>
          <w:rStyle w:val="FootnoteReference"/>
        </w:rPr>
        <w:footnoteReference w:id="21"/>
      </w:r>
      <w:r>
        <w:t xml:space="preserve"> </w:t>
      </w:r>
    </w:p>
    <w:p w14:paraId="51523D31" w14:textId="77777777" w:rsidR="00367C0A" w:rsidRDefault="00902A3A" w:rsidP="004402A7">
      <w:pPr>
        <w:spacing w:line="526" w:lineRule="auto"/>
        <w:ind w:firstLine="709"/>
        <w:jc w:val="both"/>
      </w:pPr>
      <w:r>
        <w:t xml:space="preserve">Keterangan korban menjadi dasar awal untuk mengetahui bentuk pencurian yang terjadi. Korban dapat menerangkan kapan becak bermotor terakhir kali dilihat, di mana kendaraan diletakkan, dan bagaimana kondisi kendaraan sebelum hilang. </w:t>
      </w:r>
      <w:r>
        <w:lastRenderedPageBreak/>
        <w:t>Keterangan korban juga membantu penyidik menentukan titik awal penyelidikan, terutama mengenai waktu perkiraan hilangnya kendaraan dan kemungkinan adanya orang yang mengetahui kejadian.</w:t>
      </w:r>
      <w:r>
        <w:rPr>
          <w:rStyle w:val="FootnoteReference"/>
        </w:rPr>
        <w:footnoteReference w:id="22"/>
      </w:r>
      <w:r>
        <w:t xml:space="preserve"> </w:t>
      </w:r>
    </w:p>
    <w:p w14:paraId="5B0252C5" w14:textId="77777777" w:rsidR="00367C0A" w:rsidRDefault="00902A3A" w:rsidP="004402A7">
      <w:pPr>
        <w:spacing w:line="526" w:lineRule="auto"/>
        <w:ind w:firstLine="709"/>
        <w:jc w:val="both"/>
      </w:pPr>
      <w:r>
        <w:t>Keterangan saksi juga diperlukan untuk memperjelas apakah terdapat orang yang terlihat mencurigakan di sekitar lokasi kejadian. Dalam perkara pencurian secara bersama-sama, saksi dapat membantu menerangkan jumlah orang yang terlibat dan pergerakan para pelaku. Dalam perkara seperti ini, saksi sering menjadi penghubung antara peristiwa yang dilaporkan korban dengan identitas atau ciri-ciri pelaku yang berada di sekitar lokasi.</w:t>
      </w:r>
      <w:r>
        <w:rPr>
          <w:rStyle w:val="FootnoteReference"/>
        </w:rPr>
        <w:footnoteReference w:id="23"/>
      </w:r>
      <w:r>
        <w:t xml:space="preserve"> </w:t>
      </w:r>
    </w:p>
    <w:p w14:paraId="032E44D5" w14:textId="77777777" w:rsidR="00367C0A" w:rsidRDefault="00902A3A" w:rsidP="004402A7">
      <w:pPr>
        <w:spacing w:line="526" w:lineRule="auto"/>
        <w:ind w:firstLine="709"/>
        <w:jc w:val="both"/>
      </w:pPr>
      <w:r>
        <w:t xml:space="preserve">Berdasarkan wawancara dengan IPDA </w:t>
      </w:r>
      <w:proofErr w:type="spellStart"/>
      <w:r>
        <w:t>Sihar</w:t>
      </w:r>
      <w:proofErr w:type="spellEnd"/>
      <w:r>
        <w:t xml:space="preserve"> M.T. Sihotang, S.H., penyidik menyusun kronologi perkara dengan membandingkan keterangan korban, saksi, dan tersangka. Apabila terdapat kesesuaian antara keterangan tersebut, maka bentuk tindak pidana dapat disimpulkan dengan lebih objektif. Kesesuaian keterangan tersebut menjadi penting karena kronologi yang runtut akan memudahkan penyidik menentukan apakah perbuatan dilakukan sendiri atau bersama-sama.</w:t>
      </w:r>
      <w:r>
        <w:rPr>
          <w:rStyle w:val="FootnoteReference"/>
        </w:rPr>
        <w:footnoteReference w:id="24"/>
      </w:r>
      <w:r>
        <w:t xml:space="preserve"> </w:t>
      </w:r>
    </w:p>
    <w:p w14:paraId="21135D1F" w14:textId="77777777" w:rsidR="00367C0A" w:rsidRDefault="00902A3A" w:rsidP="004402A7">
      <w:pPr>
        <w:spacing w:line="526" w:lineRule="auto"/>
        <w:ind w:firstLine="709"/>
        <w:jc w:val="both"/>
      </w:pPr>
      <w:r>
        <w:t xml:space="preserve">Pencurian becak bermotor yang dilakukan secara bersama-sama dapat dikualifikasikan sebagai pencurian dengan pemberatan. Unsur pemberatan muncul karena perbuatan dilakukan oleh dua orang atau lebih secara bersekutu, sehingga tingkat bahaya perbuatannya dinilai lebih tinggi. Dengan adanya unsur pemberatan, </w:t>
      </w:r>
      <w:r>
        <w:lastRenderedPageBreak/>
        <w:t>pencurian tersebut memperoleh penilaian hukum yang lebih berat dibandingkan pencurian yang hanya dilakukan oleh satu orang tanpa kerja sama.</w:t>
      </w:r>
      <w:r>
        <w:rPr>
          <w:rStyle w:val="FootnoteReference"/>
        </w:rPr>
        <w:footnoteReference w:id="25"/>
      </w:r>
      <w:r>
        <w:t xml:space="preserve"> </w:t>
      </w:r>
    </w:p>
    <w:p w14:paraId="7EE83B83" w14:textId="77777777" w:rsidR="00367C0A" w:rsidRDefault="00902A3A" w:rsidP="004402A7">
      <w:pPr>
        <w:spacing w:line="526" w:lineRule="auto"/>
        <w:ind w:firstLine="709"/>
        <w:jc w:val="both"/>
      </w:pPr>
      <w:r>
        <w:t>Penerapan unsur pemberatan tidak boleh dilakukan secara sembarangan. Penyidik harus membuktikan bahwa para pelaku tidak hanya hadir bersama, tetapi juga memiliki hubungan tindakan dalam mewujudkan tindak pidana pencurian. Ketelitian ini diperlukan agar penerapan pasal pemberatan tetap sesuai dengan prinsip pembuktian dan tidak menimbulkan kekeliruan terhadap orang yang sebenarnya tidak terlibat.</w:t>
      </w:r>
      <w:r>
        <w:rPr>
          <w:rStyle w:val="FootnoteReference"/>
        </w:rPr>
        <w:footnoteReference w:id="26"/>
      </w:r>
    </w:p>
    <w:p w14:paraId="2E400BD9" w14:textId="77777777" w:rsidR="00367C0A" w:rsidRDefault="00902A3A" w:rsidP="004402A7">
      <w:pPr>
        <w:spacing w:line="526" w:lineRule="auto"/>
        <w:ind w:firstLine="709"/>
        <w:jc w:val="both"/>
      </w:pPr>
      <w:r>
        <w:t xml:space="preserve">Dalam pandangan penulis, bentuk pencurian becak bermotor di wilayah hukum Polsek </w:t>
      </w:r>
      <w:proofErr w:type="spellStart"/>
      <w:r>
        <w:t>Stabat</w:t>
      </w:r>
      <w:proofErr w:type="spellEnd"/>
      <w:r>
        <w:t xml:space="preserve"> harus dilihat dari dua sisi, yaitu sisi hukum dan sisi sosial. Dari sisi hukum, perbuatan memenuhi unsur pencurian; sedangkan dari sisi sosial, perbuatan tersebut menimbulkan kerugian ekonomi bagi korban. Dari sisi sosial, hilangnya becak bermotor dapat menyebabkan korban kehilangan kemampuan bekerja sementara waktu, sehingga dampaknya dapat dirasakan langsung oleh keluarga korban.</w:t>
      </w:r>
      <w:r>
        <w:rPr>
          <w:rStyle w:val="FootnoteReference"/>
        </w:rPr>
        <w:footnoteReference w:id="27"/>
      </w:r>
      <w:r>
        <w:t xml:space="preserve"> </w:t>
      </w:r>
    </w:p>
    <w:p w14:paraId="6A135607" w14:textId="77777777" w:rsidR="00367C0A" w:rsidRDefault="00902A3A" w:rsidP="004402A7">
      <w:pPr>
        <w:spacing w:line="526" w:lineRule="auto"/>
        <w:ind w:firstLine="709"/>
        <w:jc w:val="both"/>
      </w:pPr>
      <w:r>
        <w:t xml:space="preserve">Becak bermotor yang dicuri sering kali merupakan alat kerja korban, sehingga akibat pencurian tidak berhenti pada hilangnya barang. Korban juga dapat mengalami kesulitan bekerja, kehilangan pendapatan harian, dan mengalami beban ekonomi tambahan. Kondisi ini memperlihatkan bahwa tindak pidana pencurian </w:t>
      </w:r>
      <w:r>
        <w:lastRenderedPageBreak/>
        <w:t>kendaraan mempunyai akibat lanjutan yang tidak selalu terlihat dalam nilai nominal kerugian semata.</w:t>
      </w:r>
      <w:r>
        <w:rPr>
          <w:rStyle w:val="FootnoteReference"/>
        </w:rPr>
        <w:footnoteReference w:id="28"/>
      </w:r>
      <w:r>
        <w:t xml:space="preserve"> </w:t>
      </w:r>
    </w:p>
    <w:p w14:paraId="02D82E5A" w14:textId="77777777" w:rsidR="00367C0A" w:rsidRDefault="00902A3A" w:rsidP="004402A7">
      <w:pPr>
        <w:spacing w:line="526" w:lineRule="auto"/>
        <w:ind w:firstLine="709"/>
        <w:jc w:val="both"/>
      </w:pPr>
      <w:r>
        <w:t>Hasil wawancara dengan AIPTU Suseno menunjukkan bahwa penyidik memahami dampak tersebut sebagai bagian dari alasan pentingnya perkara segera ditangani. Penyidik tetap berpedoman pada prosedur hukum, tetapi juga memperhatikan kepentingan korban dalam memperoleh kepastian hukum. Perhatian terhadap kepentingan korban menjadi bagian penting dalam penegakan hukum karena korban membutuhkan kepastian mengenai proses hukum dan pemulihan barang yang hilang.</w:t>
      </w:r>
      <w:r>
        <w:rPr>
          <w:rStyle w:val="FootnoteReference"/>
        </w:rPr>
        <w:footnoteReference w:id="29"/>
      </w:r>
      <w:r>
        <w:t xml:space="preserve"> </w:t>
      </w:r>
    </w:p>
    <w:p w14:paraId="3A76E413" w14:textId="77777777" w:rsidR="00367C0A" w:rsidRDefault="00902A3A" w:rsidP="004402A7">
      <w:pPr>
        <w:spacing w:line="526" w:lineRule="auto"/>
        <w:ind w:firstLine="709"/>
        <w:jc w:val="both"/>
      </w:pPr>
      <w:r>
        <w:t>Bentuk pencurian secara bersama-sama juga menunjukkan adanya keberanian pelaku dalam melakukan perbuatan yang melanggar hukum. Dengan adanya beberapa pelaku, pelaksanaan pencurian menjadi lebih mudah karena masing-masing pelaku dapat saling membantu. Kerja sama tersebut membuat pencurian lebih mudah dilakukan karena pelaku dapat membagi risiko dan saling membantu ketika menghadapi hambatan di lapangan.</w:t>
      </w:r>
      <w:r>
        <w:rPr>
          <w:rStyle w:val="FootnoteReference"/>
        </w:rPr>
        <w:footnoteReference w:id="30"/>
      </w:r>
      <w:r>
        <w:t xml:space="preserve"> </w:t>
      </w:r>
    </w:p>
    <w:p w14:paraId="7E187B47" w14:textId="77777777" w:rsidR="00367C0A" w:rsidRDefault="00902A3A" w:rsidP="004402A7">
      <w:pPr>
        <w:spacing w:line="526" w:lineRule="auto"/>
        <w:ind w:firstLine="709"/>
        <w:jc w:val="both"/>
      </w:pPr>
      <w:r>
        <w:t xml:space="preserve">Dalam hukum pidana, kerja sama para pelaku tidak harus selalu ditunjukkan dengan adanya perjanjian tertulis atau pembicaraan panjang. Kesepakatan dapat terlihat dari tindakan bersama yang dilakukan secara sadar untuk mencapai tujuan yang sama. Dalam praktiknya, kesepakatan diam-diam dapat terlihat dari gerak </w:t>
      </w:r>
      <w:r>
        <w:lastRenderedPageBreak/>
        <w:t>pelaku yang saling menyesuaikan, saling menunggu, atau saling membantu ketika barang mulai dipindahkan.</w:t>
      </w:r>
      <w:r>
        <w:rPr>
          <w:rStyle w:val="FootnoteReference"/>
        </w:rPr>
        <w:footnoteReference w:id="31"/>
      </w:r>
    </w:p>
    <w:p w14:paraId="0C3E437D" w14:textId="77777777" w:rsidR="00367C0A" w:rsidRDefault="00902A3A" w:rsidP="004402A7">
      <w:pPr>
        <w:spacing w:line="526" w:lineRule="auto"/>
        <w:ind w:firstLine="709"/>
        <w:jc w:val="both"/>
      </w:pPr>
      <w:r>
        <w:t>Apabila para pelaku sama-sama mengetahui bahwa becak bermotor tersebut milik orang lain dan tetap mengambilnya, maka tindakan tersebut menunjukkan adanya kesadaran melawan hukum. Kesadaran ini menjadi dasar penting dalam memahami bentuk tindak pidana yang dilakukan. Kesadaran melawan hukum tersebut semakin kuat apabila para pelaku berusaha menyembunyikan identitas, menghindari korban, atau membawa kendaraan ke tempat lain.</w:t>
      </w:r>
      <w:r>
        <w:rPr>
          <w:rStyle w:val="FootnoteReference"/>
        </w:rPr>
        <w:footnoteReference w:id="32"/>
      </w:r>
      <w:r>
        <w:t xml:space="preserve"> </w:t>
      </w:r>
    </w:p>
    <w:p w14:paraId="4BAFCD14" w14:textId="77777777" w:rsidR="00367C0A" w:rsidRDefault="00902A3A" w:rsidP="004402A7">
      <w:pPr>
        <w:spacing w:line="526" w:lineRule="auto"/>
        <w:ind w:firstLine="709"/>
        <w:jc w:val="both"/>
      </w:pPr>
      <w:r>
        <w:t>Pencurian becak bermotor juga dapat dilakukan dengan modus memanfaatkan keadaan sekitar yang sepi. Pelaku biasanya melihat kesempatan ketika korban lengah atau kendaraan tidak diawasi secara langsung. Modus ini menunjukkan bahwa kesempatan memiliki pengaruh besar dalam terjadinya pencurian, meskipun niat jahat tetap menjadi faktor utama dari sisi pelaku.</w:t>
      </w:r>
      <w:r>
        <w:rPr>
          <w:rStyle w:val="FootnoteReference"/>
        </w:rPr>
        <w:footnoteReference w:id="33"/>
      </w:r>
      <w:r>
        <w:t xml:space="preserve"> </w:t>
      </w:r>
    </w:p>
    <w:p w14:paraId="325B5AB9" w14:textId="77777777" w:rsidR="00367C0A" w:rsidRDefault="00902A3A" w:rsidP="004402A7">
      <w:pPr>
        <w:spacing w:line="526" w:lineRule="auto"/>
        <w:ind w:firstLine="709"/>
        <w:jc w:val="both"/>
      </w:pPr>
      <w:r>
        <w:t>Walaupun korban lalai menjaga kendaraan, kelalaian korban tidak menghapus sifat pidana dari perbuatan pelaku. Inti pencurian tetap terletak pada tindakan mengambil barang milik orang lain secara melawan hukum. Dengan demikian, perhatian terhadap kelalaian korban hanya dapat digunakan sebagai bahan pencegahan, bukan sebagai alasan untuk membenarkan perbuatan pelaku.</w:t>
      </w:r>
      <w:r>
        <w:rPr>
          <w:rStyle w:val="FootnoteReference"/>
        </w:rPr>
        <w:footnoteReference w:id="34"/>
      </w:r>
      <w:r>
        <w:t xml:space="preserve"> </w:t>
      </w:r>
    </w:p>
    <w:p w14:paraId="75B4389B" w14:textId="77777777" w:rsidR="00367C0A" w:rsidRDefault="00902A3A" w:rsidP="004402A7">
      <w:pPr>
        <w:spacing w:line="526" w:lineRule="auto"/>
        <w:ind w:firstLine="709"/>
        <w:jc w:val="both"/>
      </w:pPr>
      <w:r>
        <w:lastRenderedPageBreak/>
        <w:t>Penyidik dalam menentukan bentuk tindak pidana harus berhati-hati agar tidak keliru membedakan pencurian dengan penggelapan atau perbuatan lain. Perbedaannya terletak pada bagaimana awal penguasaan barang tersebut berpindah kepada pelaku. Pembedaan tersebut penting karena setiap jenis tindak pidana memiliki unsur yang berbeda dan akan berpengaruh pada penerapan pasal oleh penyidik.</w:t>
      </w:r>
      <w:r>
        <w:rPr>
          <w:rStyle w:val="FootnoteReference"/>
        </w:rPr>
        <w:footnoteReference w:id="35"/>
      </w:r>
      <w:r>
        <w:t xml:space="preserve"> </w:t>
      </w:r>
    </w:p>
    <w:p w14:paraId="1DEC8480" w14:textId="77777777" w:rsidR="00367C0A" w:rsidRDefault="00902A3A" w:rsidP="004402A7">
      <w:pPr>
        <w:spacing w:line="526" w:lineRule="auto"/>
        <w:ind w:firstLine="709"/>
        <w:jc w:val="both"/>
      </w:pPr>
      <w:r>
        <w:t>Dalam pencurian, pelaku sejak awal tidak memiliki hak untuk menguasai barang, lalu mengambilnya dari penguasaan korban. Sedangkan dalam penggelapan, pelaku biasanya sudah menguasai barang secara sah terlebih dahulu, kemudian menyalahgunakan penguasaan tersebut. Oleh karena itu, titik awal penguasaan barang menjadi faktor pembeda yang harus diperhatikan dalam menilai apakah suatu peristiwa termasuk pencurian atau penggelapan.</w:t>
      </w:r>
      <w:r>
        <w:rPr>
          <w:rStyle w:val="FootnoteReference"/>
        </w:rPr>
        <w:footnoteReference w:id="36"/>
      </w:r>
      <w:r>
        <w:t xml:space="preserve"> </w:t>
      </w:r>
    </w:p>
    <w:p w14:paraId="15A3F573" w14:textId="77777777" w:rsidR="00367C0A" w:rsidRDefault="00902A3A" w:rsidP="004402A7">
      <w:pPr>
        <w:spacing w:line="526" w:lineRule="auto"/>
        <w:ind w:firstLine="709"/>
        <w:jc w:val="both"/>
      </w:pPr>
      <w:r>
        <w:t>Pada pencurian becak bermotor secara bersama-sama, para pelaku sejak awal tidak memiliki hak untuk mengambil atau membawa kendaraan korban. Oleh karena itu, ketika kendaraan tersebut diambil tanpa izin, perbuatannya lebih tepat dikategorikan sebagai pencurian. Dalam posisi ini, perbuatan pelaku sejak awal bersifat melawan hukum karena penguasaan atas kendaraan diperoleh melalui pengambilan tanpa dasar hak.</w:t>
      </w:r>
      <w:r>
        <w:rPr>
          <w:rStyle w:val="FootnoteReference"/>
        </w:rPr>
        <w:footnoteReference w:id="37"/>
      </w:r>
      <w:r>
        <w:t xml:space="preserve"> </w:t>
      </w:r>
    </w:p>
    <w:p w14:paraId="4E0BF32D" w14:textId="77777777" w:rsidR="00367C0A" w:rsidRDefault="00902A3A" w:rsidP="004402A7">
      <w:pPr>
        <w:spacing w:line="526" w:lineRule="auto"/>
        <w:ind w:firstLine="709"/>
        <w:jc w:val="both"/>
      </w:pPr>
      <w:r>
        <w:lastRenderedPageBreak/>
        <w:t xml:space="preserve">Menurut IPDA </w:t>
      </w:r>
      <w:proofErr w:type="spellStart"/>
      <w:r>
        <w:t>Sihar</w:t>
      </w:r>
      <w:proofErr w:type="spellEnd"/>
      <w:r>
        <w:t xml:space="preserve"> M.T. Sihotang, S.H., penyidik juga melihat apakah kendaraan diambil tanpa persetujuan korban. Jika tidak ada izin dari korban dan pelaku membawa kendaraan tersebut, maka unsur melawan hukum menjadi semakin jelas. Penjelasan penyidik tersebut memperkuat bahwa unsur tanpa izin korban menjadi indikator penting dalam membuktikan adanya pengambilan secara melawan hukum.</w:t>
      </w:r>
      <w:r>
        <w:rPr>
          <w:rStyle w:val="FootnoteReference"/>
        </w:rPr>
        <w:footnoteReference w:id="38"/>
      </w:r>
    </w:p>
    <w:p w14:paraId="3B7CDA3E" w14:textId="77777777" w:rsidR="00367C0A" w:rsidRDefault="00902A3A" w:rsidP="004402A7">
      <w:pPr>
        <w:spacing w:line="526" w:lineRule="auto"/>
        <w:ind w:firstLine="709"/>
        <w:jc w:val="both"/>
      </w:pPr>
      <w:r>
        <w:t>Bentuk pencurian secara bersama-sama juga dapat diketahui dari adanya pembagian hasil atau rencana terhadap hasil curian. Apabila setelah kendaraan dicuri para pelaku berencana menjual atau membagi hasilnya, maka hal tersebut memperkuat dugaan adanya tujuan bersama. Rencana terhadap hasil curian memperlihatkan bahwa para pelaku tidak hanya mengambil barang, tetapi juga bermaksud memperoleh manfaat dari barang tersebut.</w:t>
      </w:r>
      <w:r>
        <w:rPr>
          <w:rStyle w:val="FootnoteReference"/>
        </w:rPr>
        <w:footnoteReference w:id="39"/>
      </w:r>
      <w:r>
        <w:t xml:space="preserve"> </w:t>
      </w:r>
    </w:p>
    <w:p w14:paraId="3FCD4EA5" w14:textId="77777777" w:rsidR="00367C0A" w:rsidRDefault="00902A3A" w:rsidP="004402A7">
      <w:pPr>
        <w:spacing w:line="526" w:lineRule="auto"/>
        <w:ind w:firstLine="709"/>
        <w:jc w:val="both"/>
      </w:pPr>
      <w:r>
        <w:t>Namun, pembagian hasil bukan satu-satunya penentu adanya pencurian bersama-sama. Meskipun belum sempat menikmati hasil curian, pelaku tetap dapat diproses apabila perbuatannya sudah memenuhi unsur pencurian. Hal ini karena tindak pidana pencurian telah selesai ketika barang berpindah dari penguasaan korban kepada pelaku dengan maksud dimiliki secara melawan hukum.</w:t>
      </w:r>
      <w:r>
        <w:rPr>
          <w:rStyle w:val="FootnoteReference"/>
        </w:rPr>
        <w:footnoteReference w:id="40"/>
      </w:r>
    </w:p>
    <w:p w14:paraId="424EECC7" w14:textId="77777777" w:rsidR="00367C0A" w:rsidRDefault="00902A3A" w:rsidP="004402A7">
      <w:pPr>
        <w:spacing w:line="526" w:lineRule="auto"/>
        <w:ind w:firstLine="709"/>
        <w:jc w:val="both"/>
      </w:pPr>
      <w:r>
        <w:t xml:space="preserve">Dalam pembuktian bentuk tindak pidana, penyidik juga perlu menilai keterangan para pelaku secara kritis. Hal ini karena pelaku dapat memberikan </w:t>
      </w:r>
      <w:r>
        <w:lastRenderedPageBreak/>
        <w:t>keterangan yang bertujuan mengurangi peran atau menghindari pertanggungjawaban. Sikap kritis tersebut diperlukan karena dalam perkara bersama-sama sering terjadi upaya saling menyalahkan atau mengurangi peran masing-masing pelaku.</w:t>
      </w:r>
      <w:r>
        <w:rPr>
          <w:rStyle w:val="FootnoteReference"/>
        </w:rPr>
        <w:footnoteReference w:id="41"/>
      </w:r>
    </w:p>
    <w:p w14:paraId="68DE6A27" w14:textId="77777777" w:rsidR="00367C0A" w:rsidRDefault="00902A3A" w:rsidP="004402A7">
      <w:pPr>
        <w:spacing w:line="526" w:lineRule="auto"/>
        <w:ind w:firstLine="709"/>
        <w:jc w:val="both"/>
      </w:pPr>
      <w:r>
        <w:t>Oleh karena itu, penyidik harus menyesuaikan keterangan pelaku dengan bukti lain yang diperoleh. Kesesuaian antara keterangan dan barang bukti akan memperkuat konstruksi bahwa pencurian memang dilakukan secara bersama-sama. Kesesuaian itu menjadi dasar penting bagi penyidik untuk menarik kesimpulan yang tidak hanya logis, tetapi juga dapat dipertanggungjawabkan secara hukum.</w:t>
      </w:r>
      <w:r>
        <w:rPr>
          <w:rStyle w:val="FootnoteReference"/>
        </w:rPr>
        <w:footnoteReference w:id="42"/>
      </w:r>
      <w:r>
        <w:t xml:space="preserve"> </w:t>
      </w:r>
    </w:p>
    <w:p w14:paraId="379B4E88" w14:textId="77777777" w:rsidR="00367C0A" w:rsidRDefault="00902A3A" w:rsidP="004402A7">
      <w:pPr>
        <w:spacing w:line="526" w:lineRule="auto"/>
        <w:ind w:firstLine="709"/>
        <w:jc w:val="both"/>
      </w:pPr>
      <w:r>
        <w:t xml:space="preserve">Bentuk tindak pidana pencurian becak bermotor di Polsek </w:t>
      </w:r>
      <w:proofErr w:type="spellStart"/>
      <w:r>
        <w:t>Stabat</w:t>
      </w:r>
      <w:proofErr w:type="spellEnd"/>
      <w:r>
        <w:t xml:space="preserve"> pada akhirnya dapat dipahami sebagai perbuatan mengambil kendaraan milik korban tanpa izin. Perbuatan tersebut dilakukan oleh lebih dari satu orang dengan tindakan yang saling mendukung. Dalam pemahaman tersebut, bentuk pencurian tidak hanya dilihat dari akibat berupa hilangnya kendaraan, tetapi juga dari proses bagaimana kendaraan itu dikuasai oleh para pelaku.</w:t>
      </w:r>
      <w:r>
        <w:rPr>
          <w:rStyle w:val="FootnoteReference"/>
        </w:rPr>
        <w:footnoteReference w:id="43"/>
      </w:r>
      <w:r>
        <w:t xml:space="preserve"> </w:t>
      </w:r>
    </w:p>
    <w:p w14:paraId="5C20949E" w14:textId="77777777" w:rsidR="00367C0A" w:rsidRDefault="00902A3A" w:rsidP="004402A7">
      <w:pPr>
        <w:spacing w:line="526" w:lineRule="auto"/>
        <w:ind w:firstLine="709"/>
        <w:jc w:val="both"/>
      </w:pPr>
      <w:r>
        <w:t xml:space="preserve">Dengan adanya unsur bersama-sama, perkara ini tidak hanya menunjukkan adanya pelanggaran terhadap hak milik korban, tetapi juga menunjukkan adanya kerja sama dalam melakukan kejahatan. Oleh karena itu, perkara ini memiliki bobot yang lebih berat dibandingkan pencurian yang dilakukan seorang diri. Bobot yang </w:t>
      </w:r>
      <w:r>
        <w:lastRenderedPageBreak/>
        <w:t xml:space="preserve">lebih berat tersebut muncul karena kerja sama </w:t>
      </w:r>
      <w:proofErr w:type="spellStart"/>
      <w:r>
        <w:t>antarpelaku</w:t>
      </w:r>
      <w:proofErr w:type="spellEnd"/>
      <w:r>
        <w:t xml:space="preserve"> menunjukkan tingkat keseriusan dan keberanian yang lebih tinggi dalam melakukan perbuatan pidana.</w:t>
      </w:r>
      <w:r>
        <w:rPr>
          <w:rStyle w:val="FootnoteReference"/>
        </w:rPr>
        <w:footnoteReference w:id="44"/>
      </w:r>
    </w:p>
    <w:p w14:paraId="3203B76B" w14:textId="5E350A73" w:rsidR="00367C0A" w:rsidRDefault="00902A3A" w:rsidP="00D62793">
      <w:pPr>
        <w:spacing w:line="526" w:lineRule="auto"/>
        <w:ind w:firstLine="709"/>
        <w:jc w:val="both"/>
      </w:pPr>
      <w:r>
        <w:t xml:space="preserve">Berdasarkan keseluruhan uraian tersebut, bentuk tindak pidana pencurian yang dilakukan secara bersama-sama terhadap becak bermotor di wilayah hukum Polsek </w:t>
      </w:r>
      <w:proofErr w:type="spellStart"/>
      <w:r>
        <w:t>Stabat</w:t>
      </w:r>
      <w:proofErr w:type="spellEnd"/>
      <w:r>
        <w:t xml:space="preserve"> adalah pencurian terhadap barang bergerak milik orang lain yang dilakukan oleh beberapa pelaku dengan maksud menguasai barang secara melawan hukum. Perbuatan tersebut memenuhi unsur pencurian dan mengandung unsur pemberatan karena dilakukan secara bersama-sama. Kesimpulan ini sekaligus menjawab bahwa perkara pencurian becak bermotor di Polsek </w:t>
      </w:r>
      <w:proofErr w:type="spellStart"/>
      <w:r>
        <w:t>Stabat</w:t>
      </w:r>
      <w:proofErr w:type="spellEnd"/>
      <w:r>
        <w:t xml:space="preserve"> memiliki bentuk pencurian dengan unsur penyertaan dan pemberatan yang harus dibuktikan secara cermat.</w:t>
      </w:r>
    </w:p>
    <w:p w14:paraId="53A062F4" w14:textId="77777777" w:rsidR="00367C0A" w:rsidRDefault="00902A3A" w:rsidP="004402A7">
      <w:pPr>
        <w:pStyle w:val="Heading2"/>
        <w:spacing w:line="526" w:lineRule="auto"/>
        <w:ind w:left="709" w:hanging="709"/>
        <w:jc w:val="both"/>
        <w:rPr>
          <w:sz w:val="36"/>
          <w:szCs w:val="36"/>
        </w:rPr>
      </w:pPr>
      <w:bookmarkStart w:id="4" w:name="_Toc240534681"/>
      <w:r>
        <w:t xml:space="preserve">B. </w:t>
      </w:r>
      <w:r>
        <w:tab/>
        <w:t xml:space="preserve">Peran Masing-Masing </w:t>
      </w:r>
      <w:proofErr w:type="spellStart"/>
      <w:r>
        <w:t>Pelaku</w:t>
      </w:r>
      <w:proofErr w:type="spellEnd"/>
      <w:r>
        <w:t xml:space="preserve"> </w:t>
      </w:r>
      <w:proofErr w:type="spellStart"/>
      <w:r>
        <w:t>dalam</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Pencurian</w:t>
      </w:r>
      <w:proofErr w:type="spellEnd"/>
      <w:r>
        <w:t xml:space="preserve"> </w:t>
      </w:r>
      <w:proofErr w:type="spellStart"/>
      <w:r>
        <w:t>Secara</w:t>
      </w:r>
      <w:proofErr w:type="spellEnd"/>
      <w:r>
        <w:t xml:space="preserve"> Bersama-Sama </w:t>
      </w:r>
      <w:proofErr w:type="spellStart"/>
      <w:r>
        <w:t>terhadap</w:t>
      </w:r>
      <w:proofErr w:type="spellEnd"/>
      <w:r>
        <w:t xml:space="preserve"> </w:t>
      </w:r>
      <w:proofErr w:type="spellStart"/>
      <w:r>
        <w:t>Becak</w:t>
      </w:r>
      <w:proofErr w:type="spellEnd"/>
      <w:r>
        <w:t xml:space="preserve"> </w:t>
      </w:r>
      <w:proofErr w:type="spellStart"/>
      <w:r>
        <w:t>Bermotor</w:t>
      </w:r>
      <w:bookmarkEnd w:id="4"/>
      <w:proofErr w:type="spellEnd"/>
    </w:p>
    <w:p w14:paraId="4B0117BC" w14:textId="77777777" w:rsidR="00367C0A" w:rsidRDefault="00902A3A" w:rsidP="004402A7">
      <w:pPr>
        <w:spacing w:line="526" w:lineRule="auto"/>
        <w:ind w:firstLine="709"/>
        <w:jc w:val="both"/>
      </w:pPr>
      <w:r>
        <w:t>Dalam tindak pidana pencurian yang dilakukan secara bersama-sama, pembahasan mengenai peran masing-masing pelaku menjadi hal yang sangat penting. Hal ini karena setiap pelaku dapat memiliki bentuk tindakan yang berbeda, tetapi tetap berada dalam satu rangkaian tindak pidana yang sama. Pembahasan mengenai peran diperlukan agar setiap pelaku dinilai berdasarkan tindakan nyata yang dilakukannya, bukan sekadar karena namanya disebut dalam perkara.</w:t>
      </w:r>
      <w:r>
        <w:rPr>
          <w:rStyle w:val="FootnoteReference"/>
        </w:rPr>
        <w:footnoteReference w:id="45"/>
      </w:r>
      <w:r>
        <w:t xml:space="preserve"> </w:t>
      </w:r>
    </w:p>
    <w:p w14:paraId="03F8731F" w14:textId="77777777" w:rsidR="00367C0A" w:rsidRDefault="00902A3A" w:rsidP="004402A7">
      <w:pPr>
        <w:spacing w:line="526" w:lineRule="auto"/>
        <w:ind w:firstLine="709"/>
        <w:jc w:val="both"/>
      </w:pPr>
      <w:r>
        <w:lastRenderedPageBreak/>
        <w:t>Perbedaan peran dalam tindak pidana tidak selalu menghapus keterlibatan seseorang. Selama tindakan seseorang terbukti mendukung terjadinya pencurian, maka orang tersebut dapat dianggap memiliki hubungan dengan tindak pidana. Oleh karena itu, penyidik perlu mengurai hubungan antara tindakan masing-masing pelaku dengan akibat berupa hilangnya becak bermotor milik korban.</w:t>
      </w:r>
      <w:r>
        <w:rPr>
          <w:rStyle w:val="FootnoteReference"/>
        </w:rPr>
        <w:footnoteReference w:id="46"/>
      </w:r>
      <w:r>
        <w:t xml:space="preserve"> </w:t>
      </w:r>
    </w:p>
    <w:p w14:paraId="6D652E59" w14:textId="77777777" w:rsidR="00367C0A" w:rsidRDefault="00902A3A" w:rsidP="004402A7">
      <w:pPr>
        <w:spacing w:line="526" w:lineRule="auto"/>
        <w:ind w:firstLine="709"/>
        <w:jc w:val="both"/>
      </w:pPr>
      <w:r>
        <w:t xml:space="preserve">Berdasarkan hasil wawancara dengan IPDA </w:t>
      </w:r>
      <w:proofErr w:type="spellStart"/>
      <w:r>
        <w:t>Sihar</w:t>
      </w:r>
      <w:proofErr w:type="spellEnd"/>
      <w:r>
        <w:t xml:space="preserve"> M.T. Sihotang, S.H. pada tanggal 01 Juni 2026, penyidik menjelaskan bahwa peran pelaku ditentukan melalui pemeriksaan kronologi secara rinci. Penyidik menanyakan siapa yang mengajak, siapa yang mengambil kendaraan, siapa yang mengawasi, dan siapa yang membawa hasil curian. Pertanyaan-pertanyaan tersebut membantu penyidik menyusun peta keterlibatan, sehingga posisi hukum masing-masing pelaku dapat dilihat secara lebih jelas.</w:t>
      </w:r>
      <w:r>
        <w:rPr>
          <w:rStyle w:val="FootnoteReference"/>
        </w:rPr>
        <w:footnoteReference w:id="47"/>
      </w:r>
    </w:p>
    <w:p w14:paraId="5DAFEE1D" w14:textId="77777777" w:rsidR="00367C0A" w:rsidRDefault="00902A3A" w:rsidP="004402A7">
      <w:pPr>
        <w:spacing w:line="526" w:lineRule="auto"/>
        <w:ind w:firstLine="709"/>
        <w:jc w:val="both"/>
      </w:pPr>
      <w:r>
        <w:t>Pelaku yang mengambil langsung becak bermotor dapat dipandang sebagai pelaku utama. Pelaku utama merupakan pihak yang melakukan perbuatan pokok, yaitu mengambil barang milik korban tanpa izin. Peran ini memiliki kedudukan utama karena tanpa tindakan mengambil, tindak pidana pencurian tidak akan mencapai akibat yang dilarang oleh hukum.</w:t>
      </w:r>
      <w:r>
        <w:rPr>
          <w:rStyle w:val="FootnoteReference"/>
        </w:rPr>
        <w:footnoteReference w:id="48"/>
      </w:r>
      <w:r>
        <w:t xml:space="preserve"> </w:t>
      </w:r>
    </w:p>
    <w:p w14:paraId="414EAA06" w14:textId="77777777" w:rsidR="00367C0A" w:rsidRDefault="00902A3A" w:rsidP="004402A7">
      <w:pPr>
        <w:spacing w:line="526" w:lineRule="auto"/>
        <w:ind w:firstLine="709"/>
        <w:jc w:val="both"/>
      </w:pPr>
      <w:r>
        <w:t xml:space="preserve">Dalam perkara pencurian becak bermotor, tindakan mengambil kendaraan merupakan inti dari tindak pidana. Karena tindakan tersebut menyebabkan korban </w:t>
      </w:r>
      <w:r>
        <w:lastRenderedPageBreak/>
        <w:t>kehilangan penguasaan atas barang miliknya. Dengan kata lain, pelaku yang mengambil kendaraan menjadi pihak yang secara langsung menyebabkan berpindahnya penguasaan barang dari korban kepada pelaku.</w:t>
      </w:r>
      <w:r>
        <w:rPr>
          <w:rStyle w:val="FootnoteReference"/>
        </w:rPr>
        <w:footnoteReference w:id="49"/>
      </w:r>
      <w:r>
        <w:t xml:space="preserve"> </w:t>
      </w:r>
    </w:p>
    <w:p w14:paraId="01DD79B5" w14:textId="77777777" w:rsidR="00367C0A" w:rsidRDefault="00902A3A" w:rsidP="004402A7">
      <w:pPr>
        <w:spacing w:line="526" w:lineRule="auto"/>
        <w:ind w:firstLine="709"/>
        <w:jc w:val="both"/>
      </w:pPr>
      <w:r>
        <w:t>Selain pelaku utama, terdapat pula pelaku yang berperan sebagai pengawas situasi. Peran ini dilakukan untuk memastikan keadaan sekitar aman sehingga pelaku utama dapat mengambil becak bermotor tanpa diketahui korban atau masyarakat. Peran pengawas sering kali dilakukan secara diam-diam, tetapi pengaruhnya besar karena dapat memberikan kesempatan yang lebih aman bagi pelaku utama.</w:t>
      </w:r>
      <w:r>
        <w:rPr>
          <w:rStyle w:val="FootnoteReference"/>
        </w:rPr>
        <w:footnoteReference w:id="50"/>
      </w:r>
      <w:r>
        <w:t xml:space="preserve"> </w:t>
      </w:r>
    </w:p>
    <w:p w14:paraId="2892B9D8" w14:textId="77777777" w:rsidR="00367C0A" w:rsidRDefault="00902A3A" w:rsidP="004402A7">
      <w:pPr>
        <w:spacing w:line="526" w:lineRule="auto"/>
        <w:ind w:firstLine="709"/>
        <w:jc w:val="both"/>
      </w:pPr>
      <w:r>
        <w:t>Menurut AIPTU Suseno dalam wawancara tanggal 01 Juni 2026, pelaku yang mengawasi keadaan tetap dapat diperiksa keterlibatannya. Meskipun tidak mengambil langsung kendaraan, perbuatannya dapat mempermudah terlaksananya pencurian. Keterangan ini menegaskan bahwa keterlibatan tidak selalu harus berbentuk tindakan fisik terhadap barang, tetapi juga dapat berupa bantuan yang mempermudah pencurian.</w:t>
      </w:r>
      <w:r>
        <w:rPr>
          <w:rStyle w:val="FootnoteReference"/>
        </w:rPr>
        <w:footnoteReference w:id="51"/>
      </w:r>
      <w:r>
        <w:t xml:space="preserve"> </w:t>
      </w:r>
    </w:p>
    <w:p w14:paraId="1FF069F1" w14:textId="77777777" w:rsidR="00367C0A" w:rsidRDefault="00902A3A" w:rsidP="004402A7">
      <w:pPr>
        <w:spacing w:line="526" w:lineRule="auto"/>
        <w:ind w:firstLine="709"/>
        <w:jc w:val="both"/>
      </w:pPr>
      <w:r>
        <w:t xml:space="preserve">Pelaku lain dapat berperan sebagai pemberi informasi mengenai lokasi becak bermotor. Informasi tersebut dapat berupa tempat kendaraan biasa diparkir, waktu kendaraan tidak diawasi, atau kebiasaan korban dalam menggunakan kendaraan. Informasi semacam ini dapat menjadi modal awal bagi pelaku utama </w:t>
      </w:r>
      <w:r>
        <w:lastRenderedPageBreak/>
        <w:t>untuk menentukan waktu dan cara yang dianggap aman dalam melakukan pencurian.</w:t>
      </w:r>
      <w:r>
        <w:rPr>
          <w:rStyle w:val="FootnoteReference"/>
        </w:rPr>
        <w:footnoteReference w:id="52"/>
      </w:r>
      <w:r>
        <w:t xml:space="preserve"> </w:t>
      </w:r>
    </w:p>
    <w:p w14:paraId="651CFE31" w14:textId="77777777" w:rsidR="00367C0A" w:rsidRDefault="00902A3A" w:rsidP="004402A7">
      <w:pPr>
        <w:spacing w:line="526" w:lineRule="auto"/>
        <w:ind w:firstLine="709"/>
        <w:jc w:val="both"/>
      </w:pPr>
      <w:r>
        <w:t>Pemberi informasi dapat dianggap terlibat apabila sejak awal mengetahui bahwa informasi tersebut akan digunakan untuk melakukan pencurian. Dengan demikian, pengetahuan dan kehendak pelaku menjadi unsur penting dalam menilai keterlibatannya. Oleh sebab itu, pembuktian terhadap pemberi informasi harus diarahkan pada apakah ia memahami tujuan penggunaan informasi tersebut untuk tindak pidana.</w:t>
      </w:r>
      <w:r>
        <w:rPr>
          <w:rStyle w:val="FootnoteReference"/>
        </w:rPr>
        <w:footnoteReference w:id="53"/>
      </w:r>
      <w:r>
        <w:t xml:space="preserve"> </w:t>
      </w:r>
    </w:p>
    <w:p w14:paraId="24508E1F" w14:textId="77777777" w:rsidR="00367C0A" w:rsidRDefault="00902A3A" w:rsidP="004402A7">
      <w:pPr>
        <w:spacing w:line="526" w:lineRule="auto"/>
        <w:ind w:firstLine="709"/>
        <w:jc w:val="both"/>
      </w:pPr>
      <w:r>
        <w:t>Dalam hukum pidana, keterlibatan beberapa orang dalam tindak pidana dikenal dengan konsep penyertaan. Penyertaan menunjukkan bahwa suatu tindak pidana dapat dilakukan oleh beberapa orang dengan peran yang berbeda-beda. Konsep ini penting karena dalam perkara bersama-sama, tindak pidana sering terlaksana karena adanya peran yang saling melengkapi antara beberapa orang.</w:t>
      </w:r>
      <w:r>
        <w:rPr>
          <w:rStyle w:val="FootnoteReference"/>
        </w:rPr>
        <w:footnoteReference w:id="54"/>
      </w:r>
      <w:r>
        <w:t xml:space="preserve"> </w:t>
      </w:r>
    </w:p>
    <w:p w14:paraId="4168F974" w14:textId="77777777" w:rsidR="00367C0A" w:rsidRDefault="00902A3A" w:rsidP="004402A7">
      <w:pPr>
        <w:spacing w:line="526" w:lineRule="auto"/>
        <w:ind w:firstLine="709"/>
        <w:jc w:val="both"/>
      </w:pPr>
      <w:r>
        <w:t>Peran sebagai pelaku yang turut serta melakukan tindak pidana dapat muncul apabila seseorang bersama-sama dengan pelaku lain melakukan tindakan yang mengarah pada pencurian. Dalam hal ini, pelaku tidak harus melakukan seluruh unsur tindak pidana seorang diri. Hal ini berarti seseorang tetap dapat dianggap turut serta apabila tindakannya merupakan bagian penting dari pelaksanaan pencurian secara bersama.</w:t>
      </w:r>
      <w:r>
        <w:rPr>
          <w:rStyle w:val="FootnoteReference"/>
        </w:rPr>
        <w:footnoteReference w:id="55"/>
      </w:r>
      <w:r>
        <w:t xml:space="preserve"> </w:t>
      </w:r>
    </w:p>
    <w:p w14:paraId="7336A7D6" w14:textId="77777777" w:rsidR="00367C0A" w:rsidRDefault="00902A3A" w:rsidP="004402A7">
      <w:pPr>
        <w:spacing w:line="526" w:lineRule="auto"/>
        <w:ind w:firstLine="709"/>
        <w:jc w:val="both"/>
      </w:pPr>
      <w:r>
        <w:lastRenderedPageBreak/>
        <w:t>Pembagian peran tidak harus selalu disepakati secara formal sebelum pencurian dilakukan. Kesepakatan dapat dilihat dari tindakan para pelaku yang saling mendukung pada saat peristiwa berlangsung. Dalam keadaan demikian, tindakan yang dilakukan secara serempak dan saling mendukung dapat menjadi petunjuk adanya kesepakatan batin para pelaku.</w:t>
      </w:r>
      <w:r>
        <w:rPr>
          <w:rStyle w:val="FootnoteReference"/>
        </w:rPr>
        <w:footnoteReference w:id="56"/>
      </w:r>
    </w:p>
    <w:p w14:paraId="12D1AEA3" w14:textId="77777777" w:rsidR="00367C0A" w:rsidRDefault="00902A3A" w:rsidP="004402A7">
      <w:pPr>
        <w:spacing w:line="526" w:lineRule="auto"/>
        <w:ind w:firstLine="709"/>
        <w:jc w:val="both"/>
      </w:pPr>
      <w:r>
        <w:t>Dalam pencurian becak bermotor, pelaku yang membantu membawa kendaraan setelah diambil juga memiliki peran penting. Tindakan tersebut menunjukkan adanya usaha untuk memindahkan penguasaan kendaraan dari korban kepada kelompok pelaku. Peran membawa kendaraan memperlihatkan bahwa pelaku ikut mempertahankan hasil pencurian agar tetap berada dalam penguasaan kelompok pelaku.</w:t>
      </w:r>
      <w:r>
        <w:rPr>
          <w:rStyle w:val="FootnoteReference"/>
        </w:rPr>
        <w:footnoteReference w:id="57"/>
      </w:r>
      <w:r>
        <w:t xml:space="preserve"> </w:t>
      </w:r>
    </w:p>
    <w:p w14:paraId="11255A4A" w14:textId="77777777" w:rsidR="00367C0A" w:rsidRDefault="00902A3A" w:rsidP="004402A7">
      <w:pPr>
        <w:spacing w:line="526" w:lineRule="auto"/>
        <w:ind w:firstLine="709"/>
        <w:jc w:val="both"/>
      </w:pPr>
      <w:r>
        <w:t>Pelaku yang membantu menyembunyikan kendaraan hasil curian juga dapat dikaitkan dengan tindak pidana apabila tindakannya merupakan bagian dari rencana bersama. Namun, penyidik tetap harus membedakan apakah bantuan tersebut terjadi sebelum atau sesudah pencurian selesai. Pembedaan waktu dan maksud bantuan perlu dilakukan agar penyidik tidak keliru menempatkan seseorang sebagai pelaku pencurian atau pihak yang terlibat setelahnya.</w:t>
      </w:r>
      <w:r>
        <w:rPr>
          <w:rStyle w:val="FootnoteReference"/>
        </w:rPr>
        <w:footnoteReference w:id="58"/>
      </w:r>
      <w:r>
        <w:t xml:space="preserve"> </w:t>
      </w:r>
    </w:p>
    <w:p w14:paraId="61058FC3" w14:textId="77777777" w:rsidR="00367C0A" w:rsidRDefault="00902A3A" w:rsidP="004402A7">
      <w:pPr>
        <w:spacing w:line="526" w:lineRule="auto"/>
        <w:ind w:firstLine="709"/>
        <w:jc w:val="both"/>
      </w:pPr>
      <w:r>
        <w:t xml:space="preserve">Berdasarkan wawancara dengan IPDA </w:t>
      </w:r>
      <w:proofErr w:type="spellStart"/>
      <w:r>
        <w:t>Sihar</w:t>
      </w:r>
      <w:proofErr w:type="spellEnd"/>
      <w:r>
        <w:t xml:space="preserve"> M.T. Sihotang, S.H., penyidik tidak langsung menyamakan semua pelaku tanpa melihat tindakan masing-masing. Penyidik tetap memetakan siapa pelaku utama, siapa yang membantu, dan siapa </w:t>
      </w:r>
      <w:r>
        <w:lastRenderedPageBreak/>
        <w:t>yang mengetahui rencana pencurian. Pendekatan ini penting karena prinsip keadilan menuntut agar setiap orang dinilai sesuai dengan tindakan dan tingkat keterlibatannya.</w:t>
      </w:r>
      <w:r>
        <w:rPr>
          <w:rStyle w:val="FootnoteReference"/>
        </w:rPr>
        <w:footnoteReference w:id="59"/>
      </w:r>
      <w:r>
        <w:t xml:space="preserve"> </w:t>
      </w:r>
    </w:p>
    <w:p w14:paraId="2D69259A" w14:textId="77777777" w:rsidR="00367C0A" w:rsidRDefault="00902A3A" w:rsidP="004402A7">
      <w:pPr>
        <w:spacing w:line="526" w:lineRule="auto"/>
        <w:ind w:firstLine="709"/>
        <w:jc w:val="both"/>
      </w:pPr>
      <w:r>
        <w:t>Pemetaan peran penting agar pertanggungjawaban pidana dapat diberikan secara adil. Orang yang benar-benar memiliki kontribusi terhadap tindak pidana harus diproses, sedangkan orang yang tidak terbukti terlibat tidak boleh dipaksakan masuk dalam perkara. Dengan demikian, pemetaan peran bukan hanya kepentingan teknis penyidikan, melainkan juga bagian dari upaya menjamin kepastian dan keadilan hukum.</w:t>
      </w:r>
      <w:r>
        <w:rPr>
          <w:rStyle w:val="FootnoteReference"/>
        </w:rPr>
        <w:footnoteReference w:id="60"/>
      </w:r>
      <w:r>
        <w:t xml:space="preserve"> </w:t>
      </w:r>
    </w:p>
    <w:p w14:paraId="35D43ECA" w14:textId="77777777" w:rsidR="00367C0A" w:rsidRDefault="00902A3A" w:rsidP="004402A7">
      <w:pPr>
        <w:spacing w:line="526" w:lineRule="auto"/>
        <w:ind w:firstLine="709"/>
        <w:jc w:val="both"/>
      </w:pPr>
      <w:r>
        <w:t>Keterangan saksi menjadi salah satu alat penting untuk membuktikan peran para pelaku. Saksi dapat menerangkan siapa yang berada di lokasi, siapa yang terlihat membawa kendaraan, dan siapa yang pergi bersama setelah kejadian. Keterangan saksi dapat memperkuat atau melemahkan keterangan pelaku, terutama apabila saksi melihat langsung rangkaian perbuatan di sekitar lokasi kejadian.</w:t>
      </w:r>
      <w:r>
        <w:rPr>
          <w:rStyle w:val="FootnoteReference"/>
        </w:rPr>
        <w:footnoteReference w:id="61"/>
      </w:r>
      <w:r>
        <w:t xml:space="preserve"> </w:t>
      </w:r>
    </w:p>
    <w:p w14:paraId="2A79ADEA" w14:textId="77777777" w:rsidR="00367C0A" w:rsidRDefault="00902A3A" w:rsidP="004402A7">
      <w:pPr>
        <w:spacing w:line="526" w:lineRule="auto"/>
        <w:ind w:firstLine="709"/>
        <w:jc w:val="both"/>
      </w:pPr>
      <w:r>
        <w:t xml:space="preserve">Keterangan korban juga dapat membantu penyidik mengungkap peran pelaku. Korban dapat memberikan informasi awal tentang kondisi kendaraan, lokasi kejadian, dan orang-orang yang dicurigai berada di sekitar tempat kejadian. Informasi dari korban menjadi dasar awal bagi penyidik untuk menentukan arah </w:t>
      </w:r>
      <w:r>
        <w:lastRenderedPageBreak/>
        <w:t>pemeriksaan terhadap orang-orang yang diduga berkaitan dengan peristiwa tersebut.</w:t>
      </w:r>
      <w:r>
        <w:rPr>
          <w:rStyle w:val="FootnoteReference"/>
        </w:rPr>
        <w:footnoteReference w:id="62"/>
      </w:r>
      <w:r>
        <w:t xml:space="preserve"> </w:t>
      </w:r>
    </w:p>
    <w:p w14:paraId="1911BE61" w14:textId="77777777" w:rsidR="00367C0A" w:rsidRDefault="00902A3A" w:rsidP="004402A7">
      <w:pPr>
        <w:spacing w:line="526" w:lineRule="auto"/>
        <w:ind w:firstLine="709"/>
        <w:jc w:val="both"/>
      </w:pPr>
      <w:r>
        <w:t>Keterangan tersangka dapat digunakan untuk memperjelas pembagian peran. Namun, keterangan tersebut tetap harus diuji dengan alat bukti lain karena pelaku sering kali berusaha mengurangi perannya sendiri. Pengujian terhadap keterangan tersangka penting karena dalam perkara bersama-sama sering terdapat perbedaan pengakuan antara satu pelaku dengan pelaku lainnya.</w:t>
      </w:r>
      <w:r>
        <w:rPr>
          <w:rStyle w:val="FootnoteReference"/>
        </w:rPr>
        <w:footnoteReference w:id="63"/>
      </w:r>
      <w:r>
        <w:t xml:space="preserve"> </w:t>
      </w:r>
    </w:p>
    <w:p w14:paraId="58C156F2" w14:textId="77777777" w:rsidR="00367C0A" w:rsidRDefault="00902A3A" w:rsidP="004402A7">
      <w:pPr>
        <w:spacing w:line="526" w:lineRule="auto"/>
        <w:ind w:firstLine="709"/>
        <w:jc w:val="both"/>
      </w:pPr>
      <w:r>
        <w:t>AIPTU Suseno menjelaskan bahwa dalam pemeriksaan, pelaku sering memberikan keterangan yang berbeda-beda. Oleh sebab itu, penyidik harus membandingkan keterangan antar pelaku agar diketahui mana keterangan yang sesuai dengan fakta. Perbandingan tersebut dilakukan untuk menemukan kesesuaian fakta dan menghindari kesimpulan yang hanya bersumber dari pengakuan sepihak.</w:t>
      </w:r>
      <w:r>
        <w:rPr>
          <w:rStyle w:val="FootnoteReference"/>
        </w:rPr>
        <w:footnoteReference w:id="64"/>
      </w:r>
      <w:r>
        <w:t xml:space="preserve"> </w:t>
      </w:r>
    </w:p>
    <w:p w14:paraId="0C31553D" w14:textId="77777777" w:rsidR="00367C0A" w:rsidRDefault="00902A3A" w:rsidP="004402A7">
      <w:pPr>
        <w:spacing w:line="526" w:lineRule="auto"/>
        <w:ind w:firstLine="709"/>
        <w:jc w:val="both"/>
      </w:pPr>
      <w:r>
        <w:t>Barang bukti juga dapat membantu menunjukkan peran pelaku. Misalnya, apabila alat atau bagian kendaraan ditemukan pada salah satu pelaku, hal itu dapat memperkuat dugaan bahwa pelaku tersebut memiliki peran langsung. Barang bukti dapat menunjukkan hubungan fisik antara pelaku dan objek pencurian, sehingga sangat membantu dalam memperkuat konstruksi peran.</w:t>
      </w:r>
      <w:r>
        <w:rPr>
          <w:rStyle w:val="FootnoteReference"/>
        </w:rPr>
        <w:footnoteReference w:id="65"/>
      </w:r>
      <w:r>
        <w:t xml:space="preserve"> </w:t>
      </w:r>
    </w:p>
    <w:p w14:paraId="5B9FB809" w14:textId="77777777" w:rsidR="00367C0A" w:rsidRDefault="00902A3A" w:rsidP="004402A7">
      <w:pPr>
        <w:spacing w:line="526" w:lineRule="auto"/>
        <w:ind w:firstLine="709"/>
        <w:jc w:val="both"/>
      </w:pPr>
      <w:r>
        <w:lastRenderedPageBreak/>
        <w:t>Hubungan antara para pelaku juga dapat menjadi petunjuk adanya kerja sama. Apabila para pelaku saling mengenal, berkomunikasi sebelum kejadian, atau berada bersama saat peristiwa terjadi, maka hal tersebut dapat mendukung pembuktian peran. Komunikasi atau kebersamaan sebelum kejadian dapat menjadi petunjuk, tetapi tetap harus dihubungkan dengan tindakan nyata yang mengarah pada pencurian.</w:t>
      </w:r>
      <w:r>
        <w:rPr>
          <w:rStyle w:val="FootnoteReference"/>
        </w:rPr>
        <w:footnoteReference w:id="66"/>
      </w:r>
      <w:r>
        <w:t xml:space="preserve"> </w:t>
      </w:r>
    </w:p>
    <w:p w14:paraId="196417ED" w14:textId="77777777" w:rsidR="00367C0A" w:rsidRDefault="00902A3A" w:rsidP="004402A7">
      <w:pPr>
        <w:spacing w:line="526" w:lineRule="auto"/>
        <w:ind w:firstLine="709"/>
        <w:jc w:val="both"/>
      </w:pPr>
      <w:r>
        <w:t>Namun, hubungan pertemanan saja tidak cukup untuk membuktikan keterlibatan dalam tindak pidana. Penyidik tetap harus menemukan tindakan nyata yang menunjukkan bahwa orang tersebut membantu atau turut melakukan pencurian. Prinsip ini penting agar penyidikan tetap objektif dan tidak menjadikan hubungan sosial sebagai dasar tunggal untuk menetapkan keterlibatan seseorang.</w:t>
      </w:r>
      <w:r>
        <w:rPr>
          <w:rStyle w:val="FootnoteReference"/>
        </w:rPr>
        <w:footnoteReference w:id="67"/>
      </w:r>
      <w:r>
        <w:t xml:space="preserve"> </w:t>
      </w:r>
    </w:p>
    <w:p w14:paraId="2FF68CBB" w14:textId="77777777" w:rsidR="00367C0A" w:rsidRDefault="00902A3A" w:rsidP="004402A7">
      <w:pPr>
        <w:spacing w:line="526" w:lineRule="auto"/>
        <w:ind w:firstLine="709"/>
        <w:jc w:val="both"/>
      </w:pPr>
      <w:r>
        <w:t>Pelaku yang mengajak orang lain melakukan pencurian memiliki peran penting dalam terjadinya tindak pidana. Ajakan tersebut dapat menjadi awal terbentuknya kehendak bersama untuk mengambil becak bermotor milik korban. Ajakan tersebut menunjukkan adanya peran aktif dalam membentuk niat bersama, sehingga tidak dapat dianggap sebagai tindakan yang berdiri di luar peristiwa pidana.</w:t>
      </w:r>
      <w:r>
        <w:rPr>
          <w:rStyle w:val="FootnoteReference"/>
        </w:rPr>
        <w:footnoteReference w:id="68"/>
      </w:r>
      <w:r>
        <w:t xml:space="preserve"> </w:t>
      </w:r>
    </w:p>
    <w:p w14:paraId="2081AD2A" w14:textId="77777777" w:rsidR="00367C0A" w:rsidRDefault="00902A3A" w:rsidP="004402A7">
      <w:pPr>
        <w:spacing w:line="526" w:lineRule="auto"/>
        <w:ind w:firstLine="709"/>
        <w:jc w:val="both"/>
      </w:pPr>
      <w:r>
        <w:t xml:space="preserve">Pelaku yang merencanakan pencurian juga dapat dinilai memiliki peran dominan. Walaupun tidak selalu mengambil langsung kendaraan, perencanaan </w:t>
      </w:r>
      <w:r>
        <w:lastRenderedPageBreak/>
        <w:t>dapat menjadi faktor utama yang menyebabkan tindak pidana terlaksana. Peran perencana juga dapat terlihat dari pengaturan waktu, pemilihan sasaran, atau penentuan cara untuk membawa kendaraan setelah diambil.</w:t>
      </w:r>
      <w:r>
        <w:rPr>
          <w:rStyle w:val="FootnoteReference"/>
        </w:rPr>
        <w:footnoteReference w:id="69"/>
      </w:r>
      <w:r>
        <w:t xml:space="preserve"> </w:t>
      </w:r>
    </w:p>
    <w:p w14:paraId="29DCE5D2" w14:textId="77777777" w:rsidR="00367C0A" w:rsidRDefault="00902A3A" w:rsidP="004402A7">
      <w:pPr>
        <w:spacing w:line="526" w:lineRule="auto"/>
        <w:ind w:firstLine="709"/>
        <w:jc w:val="both"/>
      </w:pPr>
      <w:r>
        <w:t>Dalam pencurian bersama-sama, pelaku yang hanya bertugas mengawasi tidak dapat langsung dianggap berperan ringan. Tanpa pengawasan, pelaku utama mungkin kesulitan melakukan pencurian karena takut diketahui orang lain. Oleh sebab itu, peran pengawas tetap harus dinilai sebagai bagian dari dukungan terhadap keberhasilan pencurian apabila dilakukan dengan sadar.</w:t>
      </w:r>
      <w:r>
        <w:rPr>
          <w:rStyle w:val="FootnoteReference"/>
        </w:rPr>
        <w:footnoteReference w:id="70"/>
      </w:r>
    </w:p>
    <w:p w14:paraId="1A6980A8" w14:textId="77777777" w:rsidR="00367C0A" w:rsidRDefault="00902A3A" w:rsidP="004402A7">
      <w:pPr>
        <w:spacing w:line="526" w:lineRule="auto"/>
        <w:ind w:firstLine="709"/>
        <w:jc w:val="both"/>
      </w:pPr>
      <w:r>
        <w:t>Peran pelaku juga dapat dilihat dari keuntungan yang diperoleh setelah pencurian. Apabila seseorang menerima bagian dari hasil penjualan atau menikmati hasil curian, maka hal tersebut dapat memperkuat dugaan keterlibatannya. Keuntungan yang diterima pelaku dapat menjadi petunjuk bahwa ia tidak sekadar mengetahui peristiwa, tetapi ikut memperoleh manfaat dari hasil tindak pidana.</w:t>
      </w:r>
      <w:r>
        <w:rPr>
          <w:rStyle w:val="FootnoteReference"/>
        </w:rPr>
        <w:footnoteReference w:id="71"/>
      </w:r>
    </w:p>
    <w:p w14:paraId="5C797EED" w14:textId="77777777" w:rsidR="00367C0A" w:rsidRDefault="00902A3A" w:rsidP="004402A7">
      <w:pPr>
        <w:spacing w:line="526" w:lineRule="auto"/>
        <w:ind w:firstLine="709"/>
        <w:jc w:val="both"/>
      </w:pPr>
      <w:r>
        <w:t>Namun, penyidik tetap harus membuktikan apakah pelaku tersebut mengetahui bahwa barang yang diterima berasal dari hasil pencurian. Pengetahuan tersebut penting untuk membedakan pelaku pencurian dengan pihak yang hanya menerima barang tanpa mengetahui asal-usulnya. Dengan pembuktian tersebut, penyidik dapat membedakan antara pelaku yang sejak awal ikut mencuri dan pihak yang baru berhubungan dengan barang setelah pencurian terjadi.</w:t>
      </w:r>
      <w:r>
        <w:rPr>
          <w:rStyle w:val="FootnoteReference"/>
        </w:rPr>
        <w:footnoteReference w:id="72"/>
      </w:r>
      <w:r>
        <w:t xml:space="preserve"> </w:t>
      </w:r>
    </w:p>
    <w:p w14:paraId="3C073865" w14:textId="77777777" w:rsidR="00367C0A" w:rsidRDefault="00902A3A" w:rsidP="004402A7">
      <w:pPr>
        <w:spacing w:line="526" w:lineRule="auto"/>
        <w:ind w:firstLine="709"/>
        <w:jc w:val="both"/>
      </w:pPr>
      <w:r>
        <w:lastRenderedPageBreak/>
        <w:t>Dalam perkara pencurian becak bermotor, pelaku yang membawa kendaraan ke tempat tertentu juga memiliki peran nyata. Perbuatan membawa kendaraan merupakan bagian dari proses menguasai barang hasil curian. Tindakan membawa kendaraan juga memperlihatkan bahwa pelaku ikut menjaga agar barang curian tidak kembali kepada korban.</w:t>
      </w:r>
      <w:r>
        <w:rPr>
          <w:rStyle w:val="FootnoteReference"/>
        </w:rPr>
        <w:footnoteReference w:id="73"/>
      </w:r>
    </w:p>
    <w:p w14:paraId="7C0B3C8D" w14:textId="77777777" w:rsidR="00367C0A" w:rsidRDefault="00902A3A" w:rsidP="004402A7">
      <w:pPr>
        <w:spacing w:line="526" w:lineRule="auto"/>
        <w:ind w:firstLine="709"/>
        <w:jc w:val="both"/>
      </w:pPr>
      <w:r>
        <w:t xml:space="preserve">Berdasarkan wawancara dengan IPDA </w:t>
      </w:r>
      <w:proofErr w:type="spellStart"/>
      <w:r>
        <w:t>Sihar</w:t>
      </w:r>
      <w:proofErr w:type="spellEnd"/>
      <w:r>
        <w:t xml:space="preserve"> M.T. Sihotang, S.H., penyidik memeriksa posisi masing-masing pelaku pada saat kejadian. Pemeriksaan posisi ini membantu menentukan apakah pelaku berada dalam rangkaian tindakan pencurian atau hanya berada di sekitar lokasi. Posisi pelaku pada saat kejadian membantu penyidik memahami apakah ia memiliki fungsi tertentu atau hanya berada di tempat kejadian tanpa peran pidana.</w:t>
      </w:r>
      <w:r>
        <w:rPr>
          <w:rStyle w:val="FootnoteReference"/>
        </w:rPr>
        <w:footnoteReference w:id="74"/>
      </w:r>
    </w:p>
    <w:p w14:paraId="561EE076" w14:textId="77777777" w:rsidR="00367C0A" w:rsidRDefault="00902A3A" w:rsidP="004402A7">
      <w:pPr>
        <w:spacing w:line="526" w:lineRule="auto"/>
        <w:ind w:firstLine="709"/>
        <w:jc w:val="both"/>
      </w:pPr>
      <w:r>
        <w:t xml:space="preserve">Peran pelaku harus dituangkan secara jelas dalam berita acara pemeriksaan. Hal ini penting agar jaksa penuntut umum dapat memahami konstruksi perkara sebelum menyusun dakwaan. Uraian dalam berita acara pemeriksaan juga menjadi dasar bagi penuntut umum untuk menilai kelengkapan </w:t>
      </w:r>
      <w:proofErr w:type="spellStart"/>
      <w:r>
        <w:t>formil</w:t>
      </w:r>
      <w:proofErr w:type="spellEnd"/>
      <w:r>
        <w:t xml:space="preserve"> dan </w:t>
      </w:r>
      <w:proofErr w:type="spellStart"/>
      <w:r>
        <w:t>materil</w:t>
      </w:r>
      <w:proofErr w:type="spellEnd"/>
      <w:r>
        <w:t xml:space="preserve"> perkara.</w:t>
      </w:r>
      <w:r>
        <w:rPr>
          <w:rStyle w:val="FootnoteReference"/>
        </w:rPr>
        <w:footnoteReference w:id="75"/>
      </w:r>
    </w:p>
    <w:p w14:paraId="7995F6CA" w14:textId="77777777" w:rsidR="00367C0A" w:rsidRDefault="00902A3A" w:rsidP="004402A7">
      <w:pPr>
        <w:spacing w:line="526" w:lineRule="auto"/>
        <w:ind w:firstLine="709"/>
        <w:jc w:val="both"/>
      </w:pPr>
      <w:r>
        <w:t xml:space="preserve">Apabila peran masing-masing pelaku tidak dijelaskan dengan baik, pembuktian pada tahap persidangan dapat mengalami kesulitan. Oleh karena itu, penyidik perlu menyusun uraian peran secara runtut dan sesuai fakta. Kejelasan </w:t>
      </w:r>
      <w:r>
        <w:lastRenderedPageBreak/>
        <w:t>peran sejak tahap penyidikan akan memudahkan pembuktian di persidangan karena hakim dapat melihat konstruksi peristiwa secara runtut.</w:t>
      </w:r>
      <w:r>
        <w:rPr>
          <w:rStyle w:val="FootnoteReference"/>
        </w:rPr>
        <w:footnoteReference w:id="76"/>
      </w:r>
    </w:p>
    <w:p w14:paraId="0929A11E" w14:textId="77777777" w:rsidR="00367C0A" w:rsidRDefault="00902A3A" w:rsidP="004402A7">
      <w:pPr>
        <w:spacing w:line="526" w:lineRule="auto"/>
        <w:ind w:firstLine="709"/>
        <w:jc w:val="both"/>
      </w:pPr>
      <w:r>
        <w:t>Perbedaan peran juga dapat memengaruhi pertimbangan hakim dalam menjatuhkan pidana. Pelaku yang berperan dominan dapat dipandang memiliki tingkat kesalahan yang lebih besar dibanding pelaku yang hanya membantu secara terbatas. Pertimbangan ini menunjukkan bahwa pembagian peran bukan hanya penting pada tahap penyidikan, tetapi juga memengaruhi penilaian kesalahan pada tahap pemidanaan.</w:t>
      </w:r>
      <w:r>
        <w:rPr>
          <w:rStyle w:val="FootnoteReference"/>
        </w:rPr>
        <w:footnoteReference w:id="77"/>
      </w:r>
    </w:p>
    <w:p w14:paraId="1D16A796" w14:textId="77777777" w:rsidR="00367C0A" w:rsidRDefault="00902A3A" w:rsidP="004402A7">
      <w:pPr>
        <w:spacing w:line="526" w:lineRule="auto"/>
        <w:ind w:firstLine="709"/>
        <w:jc w:val="both"/>
      </w:pPr>
      <w:r>
        <w:t>Meskipun demikian, semua pelaku tetap dapat dimintai pertanggungjawaban apabila terbukti memiliki niat dan tindakan yang mendukung pencurian. Dengan kata lain, kecilnya peran tidak otomatis menghapus pertanggungjawaban pidana. Oleh sebab itu, penyidik tetap harus membuktikan peran kecil tersebut secara konkret agar pertanggungjawaban pidana tidak diberikan secara berlebihan.</w:t>
      </w:r>
      <w:r>
        <w:rPr>
          <w:rStyle w:val="FootnoteReference"/>
        </w:rPr>
        <w:footnoteReference w:id="78"/>
      </w:r>
      <w:r>
        <w:t xml:space="preserve"> </w:t>
      </w:r>
    </w:p>
    <w:p w14:paraId="0927D500" w14:textId="77777777" w:rsidR="00367C0A" w:rsidRDefault="00902A3A" w:rsidP="004402A7">
      <w:pPr>
        <w:spacing w:line="526" w:lineRule="auto"/>
        <w:ind w:firstLine="709"/>
        <w:jc w:val="both"/>
      </w:pPr>
      <w:r>
        <w:t>Dalam konsep penyertaan, setiap orang yang turut melakukan atau membantu melakukan tindak pidana dapat diproses sesuai perannya. Oleh sebab itu, fokus penyidik adalah membuktikan adanya hubungan antara tindakan pelaku dan terjadinya pencurian. Hubungan tersebut menjadi jembatan untuk mengaitkan tindakan individu dengan tindak pidana yang dilakukan secara kolektif.</w:t>
      </w:r>
      <w:r>
        <w:rPr>
          <w:rStyle w:val="FootnoteReference"/>
        </w:rPr>
        <w:footnoteReference w:id="79"/>
      </w:r>
    </w:p>
    <w:p w14:paraId="58231A9E" w14:textId="77777777" w:rsidR="00367C0A" w:rsidRDefault="00902A3A" w:rsidP="004402A7">
      <w:pPr>
        <w:spacing w:line="526" w:lineRule="auto"/>
        <w:ind w:firstLine="709"/>
        <w:jc w:val="both"/>
      </w:pPr>
      <w:r>
        <w:lastRenderedPageBreak/>
        <w:t>Pelaku yang mengetahui rencana pencurian tetapi tetap ikut membantu menunjukkan adanya kesadaran untuk terlibat. Kesadaran tersebut menjadi dasar penting dalam menentukan bahwa orang tersebut bukan sekadar hadir, melainkan ikut mendukung tindak pidana. Kesadaran ini dapat dilihat dari tindakan pelaku yang tetap ikut berada dalam rangkaian perbuatan walaupun mengetahui bahwa tujuannya adalah mengambil barang milik korban.</w:t>
      </w:r>
      <w:r>
        <w:rPr>
          <w:rStyle w:val="FootnoteReference"/>
        </w:rPr>
        <w:footnoteReference w:id="80"/>
      </w:r>
    </w:p>
    <w:p w14:paraId="55C11363" w14:textId="77777777" w:rsidR="00367C0A" w:rsidRDefault="00902A3A" w:rsidP="004402A7">
      <w:pPr>
        <w:spacing w:line="526" w:lineRule="auto"/>
        <w:ind w:firstLine="709"/>
        <w:jc w:val="both"/>
      </w:pPr>
      <w:r>
        <w:t>Dalam praktiknya, penyidik harus hati-hati membedakan antara pelaku utama, pembantu, dan penadah. Ketiganya dapat berkaitan dengan barang hasil curian, tetapi posisi hukumnya berbeda. Pembedaan ini penting karena pelaku pencurian, pembantu, dan penadah memiliki dasar hukum dan konstruksi pertanggungjawaban yang berbeda.</w:t>
      </w:r>
      <w:r>
        <w:rPr>
          <w:rStyle w:val="FootnoteReference"/>
        </w:rPr>
        <w:footnoteReference w:id="81"/>
      </w:r>
    </w:p>
    <w:p w14:paraId="6B119DB2" w14:textId="77777777" w:rsidR="00367C0A" w:rsidRDefault="00902A3A" w:rsidP="004402A7">
      <w:pPr>
        <w:spacing w:line="526" w:lineRule="auto"/>
        <w:ind w:firstLine="709"/>
        <w:jc w:val="both"/>
      </w:pPr>
      <w:r>
        <w:t>Pelaku utama dan pelaku yang turut serta berada dalam rangkaian pencurian sejak perbuatan dilakukan. Sedangkan penadah biasanya baru terlibat setelah barang hasil kejahatan berada di luar penguasaan korban. Dengan pembedaan tersebut, penyidik dapat menentukan apakah seseorang masuk dalam rangkaian pencurian atau hanya berkaitan dengan hasil kejahatan setelah perbuatan selesai.</w:t>
      </w:r>
      <w:r>
        <w:rPr>
          <w:rStyle w:val="FootnoteReference"/>
        </w:rPr>
        <w:footnoteReference w:id="82"/>
      </w:r>
      <w:r>
        <w:t xml:space="preserve"> </w:t>
      </w:r>
    </w:p>
    <w:p w14:paraId="1DDBA29D" w14:textId="77777777" w:rsidR="00367C0A" w:rsidRDefault="00902A3A" w:rsidP="004402A7">
      <w:pPr>
        <w:spacing w:line="526" w:lineRule="auto"/>
        <w:ind w:firstLine="709"/>
        <w:jc w:val="both"/>
      </w:pPr>
      <w:r>
        <w:t xml:space="preserve">Menurut AIPTU Suseno, pembuktian peran menjadi lebih kuat apabila keterangan pelaku sesuai dengan keterangan saksi dan barang bukti. Kesesuaian tersebut membantu penyidik menyusun kesimpulan yang lebih objektif. Kesesuaian </w:t>
      </w:r>
      <w:r>
        <w:lastRenderedPageBreak/>
        <w:t>antara keterangan dan barang bukti memberikan dasar yang lebih kuat daripada pengakuan pelaku yang berdiri sendiri.</w:t>
      </w:r>
      <w:r>
        <w:rPr>
          <w:rStyle w:val="FootnoteReference"/>
        </w:rPr>
        <w:footnoteReference w:id="83"/>
      </w:r>
    </w:p>
    <w:p w14:paraId="0DFA18B6" w14:textId="77777777" w:rsidR="00367C0A" w:rsidRDefault="00902A3A" w:rsidP="004402A7">
      <w:pPr>
        <w:spacing w:line="526" w:lineRule="auto"/>
        <w:ind w:firstLine="709"/>
        <w:jc w:val="both"/>
      </w:pPr>
      <w:r>
        <w:t>Peran masing-masing pelaku juga harus dilihat dari kontribusinya terhadap keberhasilan pencurian. Apabila tindakan seseorang membuat pencurian lebih mudah terjadi, maka tindakan tersebut dapat dipandang sebagai bagian dari rangkaian tindak pidana. Kontribusi terhadap keberhasilan pencurian menjadi ukuran penting karena tindak pidana bersama-sama sering terlaksana melalui bantuan kecil yang saling melengkapi.</w:t>
      </w:r>
      <w:r>
        <w:rPr>
          <w:rStyle w:val="FootnoteReference"/>
        </w:rPr>
        <w:footnoteReference w:id="84"/>
      </w:r>
    </w:p>
    <w:p w14:paraId="4E92B005" w14:textId="77777777" w:rsidR="00367C0A" w:rsidRDefault="00902A3A" w:rsidP="004402A7">
      <w:pPr>
        <w:spacing w:line="526" w:lineRule="auto"/>
        <w:ind w:firstLine="709"/>
        <w:jc w:val="both"/>
      </w:pPr>
      <w:r>
        <w:t xml:space="preserve">Dalam pandangan penulis, peran pelaku dalam perkara pencurian becak bermotor tidak dapat hanya dilihat secara fisik. Peran </w:t>
      </w:r>
      <w:proofErr w:type="spellStart"/>
      <w:r>
        <w:t>nonfisik</w:t>
      </w:r>
      <w:proofErr w:type="spellEnd"/>
      <w:r>
        <w:t xml:space="preserve"> seperti memberi informasi atau mengawasi keadaan juga dapat menjadi bagian penting dalam tindak pidana. Peran </w:t>
      </w:r>
      <w:proofErr w:type="spellStart"/>
      <w:r>
        <w:t>nonfisik</w:t>
      </w:r>
      <w:proofErr w:type="spellEnd"/>
      <w:r>
        <w:t xml:space="preserve"> tersebut dapat menentukan keberhasilan pencurian karena informasi dan pengawasan sering menjadi faktor yang memudahkan pelaku utama.</w:t>
      </w:r>
      <w:r>
        <w:rPr>
          <w:rStyle w:val="FootnoteReference"/>
        </w:rPr>
        <w:footnoteReference w:id="85"/>
      </w:r>
    </w:p>
    <w:p w14:paraId="6C77889B" w14:textId="77777777" w:rsidR="00367C0A" w:rsidRDefault="00902A3A" w:rsidP="004402A7">
      <w:pPr>
        <w:spacing w:line="526" w:lineRule="auto"/>
        <w:ind w:firstLine="709"/>
        <w:jc w:val="both"/>
      </w:pPr>
      <w:r>
        <w:t xml:space="preserve">Oleh karena itu, pembuktian peran memerlukan ketelitian penyidik. Penyidik harus menggali seluruh rangkaian perbuatan agar tidak ada pelaku yang terlepas dari tanggung jawab atau orang yang tidak bersalah justru diproses. </w:t>
      </w:r>
      <w:r>
        <w:lastRenderedPageBreak/>
        <w:t>Ketelitian ini menjadi penting agar proses hukum tidak hanya cepat, tetapi juga tepat dalam menempatkan status hukum setiap orang yang diperiksa.</w:t>
      </w:r>
      <w:r>
        <w:rPr>
          <w:rStyle w:val="FootnoteReference"/>
        </w:rPr>
        <w:footnoteReference w:id="86"/>
      </w:r>
    </w:p>
    <w:p w14:paraId="40C08584" w14:textId="77777777" w:rsidR="00367C0A" w:rsidRDefault="00902A3A" w:rsidP="004402A7">
      <w:pPr>
        <w:spacing w:line="526" w:lineRule="auto"/>
        <w:ind w:firstLine="709"/>
        <w:jc w:val="both"/>
      </w:pPr>
      <w:r>
        <w:t>Peran masing-masing pelaku dalam perkara ini menunjukkan bahwa pencurian becak bermotor dilakukan melalui tindakan yang saling berhubungan. Tindakan tersebut membentuk satu rangkaian perbuatan yang mengarah pada penguasaan kendaraan milik korban. Rangkaian perbuatan tersebut menunjukkan bahwa pencurian tidak terjadi secara terpisah, tetapi melalui kontribusi beberapa pelaku yang saling menunjang.</w:t>
      </w:r>
      <w:r>
        <w:rPr>
          <w:rStyle w:val="FootnoteReference"/>
        </w:rPr>
        <w:footnoteReference w:id="87"/>
      </w:r>
    </w:p>
    <w:p w14:paraId="34CEDF50" w14:textId="77777777" w:rsidR="00367C0A" w:rsidRDefault="00902A3A" w:rsidP="004402A7">
      <w:pPr>
        <w:spacing w:line="526" w:lineRule="auto"/>
        <w:ind w:firstLine="709"/>
        <w:jc w:val="both"/>
      </w:pPr>
      <w:r>
        <w:t>Dengan demikian, setiap pelaku harus dinilai berdasarkan perbuatannya masing-masing. Penilaian tersebut menjadi dasar untuk menentukan apakah pelaku termasuk pelaku utama, turut serta, membantu, atau pihak lain yang berkaitan dengan hasil curian. Penilaian individual ini diperlukan agar masing-masing pelaku menerima konsekuensi hukum sesuai dengan perbuatan yang benar-benar dilakukannya.</w:t>
      </w:r>
      <w:r>
        <w:rPr>
          <w:rStyle w:val="FootnoteReference"/>
        </w:rPr>
        <w:footnoteReference w:id="88"/>
      </w:r>
      <w:r>
        <w:t xml:space="preserve"> </w:t>
      </w:r>
    </w:p>
    <w:p w14:paraId="328281B0" w14:textId="33DEC1BC" w:rsidR="00367C0A" w:rsidRDefault="00902A3A" w:rsidP="00D62793">
      <w:pPr>
        <w:spacing w:line="526" w:lineRule="auto"/>
        <w:ind w:firstLine="709"/>
        <w:jc w:val="both"/>
      </w:pPr>
      <w:r>
        <w:t xml:space="preserve">Berdasarkan uraian tersebut, peran masing-masing pelaku dalam tindak pidana pencurian becak bermotor secara bersama-sama di wilayah hukum Polsek </w:t>
      </w:r>
      <w:proofErr w:type="spellStart"/>
      <w:r>
        <w:t>Stabat</w:t>
      </w:r>
      <w:proofErr w:type="spellEnd"/>
      <w:r>
        <w:t xml:space="preserve"> meliputi pelaku yang mengambil, mengawasi, memberi informasi, membawa, dan menyembunyikan hasil curian. Setiap peran tersebut harus dibuktikan dengan alat bukti yang sah agar pertanggungjawaban pidana dapat </w:t>
      </w:r>
      <w:r>
        <w:lastRenderedPageBreak/>
        <w:t>diberikan secara tepat. Dengan demikian, pemetaan peran menjadi inti dari pembahasan rumusan masalah kedua karena dari peran tersebut dapat diketahui dasar keterlibatan setiap pelaku.</w:t>
      </w:r>
    </w:p>
    <w:p w14:paraId="53B61CEB" w14:textId="3218A3E5" w:rsidR="00367C0A" w:rsidRDefault="00902A3A" w:rsidP="004402A7">
      <w:pPr>
        <w:pStyle w:val="Heading2"/>
        <w:tabs>
          <w:tab w:val="clear" w:pos="0"/>
        </w:tabs>
        <w:spacing w:line="526" w:lineRule="auto"/>
        <w:ind w:left="567" w:hanging="567"/>
        <w:jc w:val="both"/>
        <w:rPr>
          <w:sz w:val="36"/>
          <w:szCs w:val="36"/>
        </w:rPr>
      </w:pPr>
      <w:bookmarkStart w:id="5" w:name="_Toc240534682"/>
      <w:r>
        <w:t xml:space="preserve">C. </w:t>
      </w:r>
      <w:r w:rsidR="00E5099C">
        <w:tab/>
      </w:r>
      <w:proofErr w:type="spellStart"/>
      <w:r>
        <w:t>Pertanggungjawaban</w:t>
      </w:r>
      <w:proofErr w:type="spellEnd"/>
      <w:r>
        <w:t xml:space="preserve"> </w:t>
      </w:r>
      <w:proofErr w:type="spellStart"/>
      <w:r>
        <w:t>Pidana</w:t>
      </w:r>
      <w:proofErr w:type="spellEnd"/>
      <w:r>
        <w:t xml:space="preserve"> Para </w:t>
      </w:r>
      <w:proofErr w:type="spellStart"/>
      <w:r>
        <w:t>Pelaku</w:t>
      </w:r>
      <w:proofErr w:type="spellEnd"/>
      <w:r>
        <w:t xml:space="preserve"> </w:t>
      </w:r>
      <w:proofErr w:type="spellStart"/>
      <w:r>
        <w:t>dalam</w:t>
      </w:r>
      <w:proofErr w:type="spellEnd"/>
      <w:r>
        <w:t xml:space="preserve"> </w:t>
      </w:r>
      <w:proofErr w:type="spellStart"/>
      <w:r>
        <w:t>Kasus</w:t>
      </w:r>
      <w:proofErr w:type="spellEnd"/>
      <w:r>
        <w:t xml:space="preserve"> </w:t>
      </w:r>
      <w:proofErr w:type="spellStart"/>
      <w:r>
        <w:t>Pencurian</w:t>
      </w:r>
      <w:proofErr w:type="spellEnd"/>
      <w:r>
        <w:t xml:space="preserve"> </w:t>
      </w:r>
      <w:proofErr w:type="spellStart"/>
      <w:r>
        <w:t>Secara</w:t>
      </w:r>
      <w:proofErr w:type="spellEnd"/>
      <w:r>
        <w:t xml:space="preserve"> Bersama-Sama </w:t>
      </w:r>
      <w:proofErr w:type="spellStart"/>
      <w:r>
        <w:t>terhadap</w:t>
      </w:r>
      <w:proofErr w:type="spellEnd"/>
      <w:r>
        <w:t xml:space="preserve"> </w:t>
      </w:r>
      <w:proofErr w:type="spellStart"/>
      <w:r>
        <w:t>Becak</w:t>
      </w:r>
      <w:proofErr w:type="spellEnd"/>
      <w:r>
        <w:t xml:space="preserve"> </w:t>
      </w:r>
      <w:proofErr w:type="spellStart"/>
      <w:r>
        <w:t>Bermotor</w:t>
      </w:r>
      <w:proofErr w:type="spellEnd"/>
      <w:r>
        <w:t xml:space="preserve"> di </w:t>
      </w:r>
      <w:proofErr w:type="spellStart"/>
      <w:r>
        <w:t>Polsek</w:t>
      </w:r>
      <w:proofErr w:type="spellEnd"/>
      <w:r>
        <w:t xml:space="preserve"> Stabat</w:t>
      </w:r>
      <w:bookmarkEnd w:id="5"/>
    </w:p>
    <w:p w14:paraId="0C80575D" w14:textId="77777777" w:rsidR="00367C0A" w:rsidRDefault="00902A3A" w:rsidP="004402A7">
      <w:pPr>
        <w:spacing w:line="526" w:lineRule="auto"/>
        <w:ind w:firstLine="709"/>
        <w:jc w:val="both"/>
      </w:pPr>
      <w:r>
        <w:t>Pertanggungjawaban pidana merupakan persoalan penting dalam hukum pidana karena berkaitan dengan dapat atau tidaknya seseorang dijatuhi pidana. Dalam perkara pencurian becak bermotor secara bersama-sama, pertanggungjawaban pidana harus dilihat dari perbuatan, kesalahan, dan keterlibatan masing-masing pelaku. Oleh sebab itu, pertanggungjawaban pidana tidak dapat dilepaskan dari pembuktian mengenai siapa yang berbuat, bagaimana perbuatannya, dan apakah perbuatan itu dapat dicela secara hukum.</w:t>
      </w:r>
      <w:r>
        <w:rPr>
          <w:rStyle w:val="FootnoteReference"/>
        </w:rPr>
        <w:footnoteReference w:id="89"/>
      </w:r>
    </w:p>
    <w:p w14:paraId="32A44528" w14:textId="77777777" w:rsidR="00367C0A" w:rsidRDefault="00902A3A" w:rsidP="004402A7">
      <w:pPr>
        <w:spacing w:line="526" w:lineRule="auto"/>
        <w:ind w:firstLine="709"/>
        <w:jc w:val="both"/>
      </w:pPr>
      <w:r>
        <w:t>Seseorang tidak cukup hanya terbukti melakukan perbuatan pidana, tetapi juga harus terbukti memiliki kesalahan. Kesalahan menjadi dasar utama dalam pertanggungjawaban pidana karena pidana tidak boleh dijatuhkan kepada orang yang tidak dapat dipersalahkan. Prinsip ini menempatkan kesalahan sebagai syarat utama agar pemidanaan tidak dijatuhkan secara sewenang-wenang kepada orang yang tidak layak dipersalahkan.</w:t>
      </w:r>
      <w:r>
        <w:rPr>
          <w:rStyle w:val="FootnoteReference"/>
        </w:rPr>
        <w:footnoteReference w:id="90"/>
      </w:r>
      <w:r>
        <w:t xml:space="preserve"> </w:t>
      </w:r>
    </w:p>
    <w:p w14:paraId="62FDD61D" w14:textId="77777777" w:rsidR="00367C0A" w:rsidRDefault="00902A3A" w:rsidP="004402A7">
      <w:pPr>
        <w:spacing w:line="526" w:lineRule="auto"/>
        <w:ind w:firstLine="709"/>
        <w:jc w:val="both"/>
      </w:pPr>
      <w:r>
        <w:t xml:space="preserve">Dalam tindak pidana pencurian, bentuk kesalahan pada umumnya berupa kesengajaan. Pelaku mengetahui bahwa barang tersebut milik orang lain, tetapi </w:t>
      </w:r>
      <w:r>
        <w:lastRenderedPageBreak/>
        <w:t>tetap mengambilnya dengan maksud untuk menguasai secara melawan hukum. Kesengajaan tersebut menjadi dasar untuk menunjukkan bahwa pelaku bertindak dengan kehendak dan pengetahuan terhadap akibat dari perbuatannya.</w:t>
      </w:r>
      <w:r>
        <w:rPr>
          <w:rStyle w:val="FootnoteReference"/>
        </w:rPr>
        <w:footnoteReference w:id="91"/>
      </w:r>
      <w:r>
        <w:t xml:space="preserve"> </w:t>
      </w:r>
    </w:p>
    <w:p w14:paraId="3F0BF46C" w14:textId="77777777" w:rsidR="00367C0A" w:rsidRDefault="00902A3A" w:rsidP="004402A7">
      <w:pPr>
        <w:spacing w:line="526" w:lineRule="auto"/>
        <w:ind w:firstLine="709"/>
        <w:jc w:val="both"/>
      </w:pPr>
      <w:r>
        <w:t xml:space="preserve">Berdasarkan wawancara dengan IPDA </w:t>
      </w:r>
      <w:proofErr w:type="spellStart"/>
      <w:r>
        <w:t>Sihar</w:t>
      </w:r>
      <w:proofErr w:type="spellEnd"/>
      <w:r>
        <w:t xml:space="preserve"> M.T. Sihotang, S.H. pada tanggal 01 Juni 2026, penyidik menjelaskan bahwa penetapan tersangka dilakukan setelah terdapat alat bukti yang cukup. Penyidik tidak hanya mendasarkan pemeriksaan pada laporan korban, tetapi juga memeriksa saksi, barang bukti, dan keterangan para pelaku. Dengan adanya alat bukti yang cukup, penetapan tersangka menjadi lebih objektif dan dapat dipertanggungjawabkan dalam proses hukum berikutnya.</w:t>
      </w:r>
      <w:r>
        <w:rPr>
          <w:rStyle w:val="FootnoteReference"/>
        </w:rPr>
        <w:footnoteReference w:id="92"/>
      </w:r>
    </w:p>
    <w:p w14:paraId="48AC9D90" w14:textId="77777777" w:rsidR="00367C0A" w:rsidRDefault="00902A3A" w:rsidP="004402A7">
      <w:pPr>
        <w:spacing w:line="526" w:lineRule="auto"/>
        <w:ind w:firstLine="709"/>
        <w:jc w:val="both"/>
      </w:pPr>
      <w:r>
        <w:t>Pertanggungjawaban pidana dalam pencurian secara bersama-sama dapat dibebankan kepada setiap pelaku yang terbukti memiliki hubungan dengan tindak pidana. Hubungan tersebut dapat berupa melakukan, membantu, mengawasi, membawa, atau mempermudah terjadinya pencurian. Keterkaitan tindakan dengan tindak pidana menjadi dasar untuk membebankan tanggung jawab kepada pelaku yang tidak selalu mengambil barang secara langsung.</w:t>
      </w:r>
      <w:r>
        <w:rPr>
          <w:rStyle w:val="FootnoteReference"/>
        </w:rPr>
        <w:footnoteReference w:id="93"/>
      </w:r>
    </w:p>
    <w:p w14:paraId="21257E59" w14:textId="77777777" w:rsidR="00367C0A" w:rsidRDefault="00902A3A" w:rsidP="004402A7">
      <w:pPr>
        <w:spacing w:line="526" w:lineRule="auto"/>
        <w:ind w:firstLine="709"/>
        <w:jc w:val="both"/>
      </w:pPr>
      <w:r>
        <w:t xml:space="preserve">Pelaku utama bertanggung jawab atas perbuatan pokok berupa mengambil becak bermotor milik korban. Sementara itu, pelaku yang membantu tetap dapat dimintai pertanggungjawaban apabila tindakannya terbukti memudahkan </w:t>
      </w:r>
      <w:r>
        <w:lastRenderedPageBreak/>
        <w:t>pencurian. Dengan demikian, pertanggungjawaban dalam perkara bersama-sama tidak hanya melekat pada pelaku utama, tetapi juga pada pihak yang memberi kontribusi nyata terhadap pencurian.</w:t>
      </w:r>
      <w:r>
        <w:rPr>
          <w:rStyle w:val="FootnoteReference"/>
        </w:rPr>
        <w:footnoteReference w:id="94"/>
      </w:r>
    </w:p>
    <w:p w14:paraId="366CD86D" w14:textId="77777777" w:rsidR="00367C0A" w:rsidRDefault="00902A3A" w:rsidP="004402A7">
      <w:pPr>
        <w:spacing w:line="526" w:lineRule="auto"/>
        <w:ind w:firstLine="709"/>
        <w:jc w:val="both"/>
      </w:pPr>
      <w:r>
        <w:t>Menurut AIPTU Suseno dalam wawancara tanggal 01 Juni 2026, penyidik menilai kesengajaan pelaku dari rangkaian perbuatan. Apabila pelaku datang bersama, mengambil kendaraan, lalu membawa kendaraan menjauh dari lokasi, maka hal tersebut menunjukkan adanya kehendak untuk menguasai barang. Penilaian berdasarkan rangkaian perbuatan membuat penyidik tidak bergantung semata-mata pada pengakuan pelaku, tetapi juga pada fakta yang terlihat dari tindakan mereka.</w:t>
      </w:r>
      <w:r>
        <w:rPr>
          <w:rStyle w:val="FootnoteReference"/>
        </w:rPr>
        <w:footnoteReference w:id="95"/>
      </w:r>
    </w:p>
    <w:p w14:paraId="08B79B01" w14:textId="77777777" w:rsidR="00367C0A" w:rsidRDefault="00902A3A" w:rsidP="004402A7">
      <w:pPr>
        <w:spacing w:line="526" w:lineRule="auto"/>
        <w:ind w:firstLine="709"/>
        <w:jc w:val="both"/>
      </w:pPr>
      <w:r>
        <w:t>Kesengajaan pelaku juga dapat terlihat dari tindakan setelah pencurian terjadi. Misalnya, pelaku menyembunyikan becak bermotor, membongkar bagian kendaraan, atau berusaha menjual hasil curian. Tindakan setelah pencurian menjadi indikator penting karena menunjukkan apakah pelaku benar-benar bermaksud menguasai hasil pencurian atau tidak.</w:t>
      </w:r>
      <w:r>
        <w:rPr>
          <w:rStyle w:val="FootnoteReference"/>
        </w:rPr>
        <w:footnoteReference w:id="96"/>
      </w:r>
    </w:p>
    <w:p w14:paraId="06C21AD5" w14:textId="77777777" w:rsidR="00367C0A" w:rsidRDefault="00902A3A" w:rsidP="004402A7">
      <w:pPr>
        <w:spacing w:line="526" w:lineRule="auto"/>
        <w:ind w:firstLine="709"/>
        <w:jc w:val="both"/>
      </w:pPr>
      <w:r>
        <w:t xml:space="preserve">Dalam perkara pencurian becak bermotor, para pelaku dapat dimintai pertanggungjawaban apabila terbukti sadar bahwa kendaraan tersebut bukan miliknya. Kesadaran ini penting karena menunjukkan adanya sikap batin yang melawan hukum. Kesadaran bahwa barang tersebut milik orang lain </w:t>
      </w:r>
      <w:r>
        <w:lastRenderedPageBreak/>
        <w:t>memperlihatkan adanya pengetahuan terhadap sifat melawan hukum dari tindakan yang dilakukan.</w:t>
      </w:r>
      <w:r>
        <w:rPr>
          <w:rStyle w:val="FootnoteReference"/>
        </w:rPr>
        <w:footnoteReference w:id="97"/>
      </w:r>
    </w:p>
    <w:p w14:paraId="5F8C09F6" w14:textId="77777777" w:rsidR="00367C0A" w:rsidRDefault="00902A3A" w:rsidP="004402A7">
      <w:pPr>
        <w:spacing w:line="526" w:lineRule="auto"/>
        <w:ind w:firstLine="709"/>
        <w:jc w:val="both"/>
      </w:pPr>
      <w:r>
        <w:t>Pertanggungjawaban pidana juga harus memperhatikan kemampuan bertanggung jawab pelaku. Pelaku harus berada dalam keadaan mampu memahami perbuatannya dan mampu menentukan kehendaknya. Syarat ini diperlukan agar pemidanaan hanya dijatuhkan kepada orang yang secara mental dan hukum layak mempertanggungjawabkan perbuatannya.</w:t>
      </w:r>
      <w:r>
        <w:rPr>
          <w:rStyle w:val="FootnoteReference"/>
        </w:rPr>
        <w:footnoteReference w:id="98"/>
      </w:r>
    </w:p>
    <w:p w14:paraId="1A66FF22" w14:textId="77777777" w:rsidR="00367C0A" w:rsidRDefault="00902A3A" w:rsidP="004402A7">
      <w:pPr>
        <w:spacing w:line="526" w:lineRule="auto"/>
        <w:ind w:firstLine="709"/>
        <w:jc w:val="both"/>
      </w:pPr>
      <w:r>
        <w:t>Apabila pelaku dapat memberikan keterangan secara jelas, memahami perbuatannya, dan tidak berada dalam kondisi yang menghapus kesalahan, maka ia dapat dimintai pertanggungjawaban pidana. Hal ini menjadi salah satu dasar penyidik dalam memeriksa keadaan pelaku. Pemeriksaan terhadap keadaan pelaku menjadi penting untuk memastikan tidak terdapat alasan yang dapat menghapuskan kemampuan bertanggung jawab.</w:t>
      </w:r>
      <w:r>
        <w:rPr>
          <w:rStyle w:val="FootnoteReference"/>
        </w:rPr>
        <w:footnoteReference w:id="99"/>
      </w:r>
    </w:p>
    <w:p w14:paraId="7C5669E1" w14:textId="77777777" w:rsidR="00367C0A" w:rsidRDefault="00902A3A" w:rsidP="004402A7">
      <w:pPr>
        <w:spacing w:line="526" w:lineRule="auto"/>
        <w:ind w:firstLine="709"/>
        <w:jc w:val="both"/>
      </w:pPr>
      <w:r>
        <w:t>Dalam perkara pencurian secara bersama-sama, tidak semua pelaku harus memiliki peran yang sama. Namun, semua pelaku yang terbukti memiliki kontribusi terhadap terjadinya pencurian dapat dimintai pertanggungjawaban. Oleh karena itu, perbedaan peran tidak boleh menutup kemungkinan pertanggungjawaban sepanjang terdapat kontribusi yang nyata dan disertai kesadaran.</w:t>
      </w:r>
      <w:r>
        <w:rPr>
          <w:rStyle w:val="FootnoteReference"/>
        </w:rPr>
        <w:footnoteReference w:id="100"/>
      </w:r>
      <w:r>
        <w:t xml:space="preserve"> </w:t>
      </w:r>
    </w:p>
    <w:p w14:paraId="1A28D53A" w14:textId="77777777" w:rsidR="00367C0A" w:rsidRDefault="00902A3A" w:rsidP="004402A7">
      <w:pPr>
        <w:spacing w:line="526" w:lineRule="auto"/>
        <w:ind w:firstLine="709"/>
        <w:jc w:val="both"/>
      </w:pPr>
      <w:r>
        <w:lastRenderedPageBreak/>
        <w:t>Pertanggungjawaban pidana tidak dapat dibebankan hanya karena seseorang berada di lokasi kejadian. Harus ada bukti bahwa orang tersebut melakukan tindakan yang berkaitan langsung atau tidak langsung dengan tindak pidana. Ketentuan ini penting untuk mencegah seseorang dipidana hanya karena kedekatan fisik dengan peristiwa tanpa adanya perbuatan yang dapat dibuktikan.</w:t>
      </w:r>
      <w:r>
        <w:rPr>
          <w:rStyle w:val="FootnoteReference"/>
        </w:rPr>
        <w:footnoteReference w:id="101"/>
      </w:r>
    </w:p>
    <w:p w14:paraId="2B88C88B" w14:textId="77777777" w:rsidR="00367C0A" w:rsidRDefault="00902A3A" w:rsidP="004402A7">
      <w:pPr>
        <w:spacing w:line="526" w:lineRule="auto"/>
        <w:ind w:firstLine="709"/>
        <w:jc w:val="both"/>
      </w:pPr>
      <w:r>
        <w:t xml:space="preserve">Berdasarkan hasil wawancara dengan IPDA </w:t>
      </w:r>
      <w:proofErr w:type="spellStart"/>
      <w:r>
        <w:t>Sihar</w:t>
      </w:r>
      <w:proofErr w:type="spellEnd"/>
      <w:r>
        <w:t xml:space="preserve"> M.T. Sihotang, S.H., penyidik membedakan antara orang yang terlibat aktif dan orang yang hanya berada di sekitar lokasi. Pembedaan tersebut penting agar tidak terjadi kesalahan dalam penetapan tersangka. Pembedaan tersebut memperlihatkan bahwa penyidik harus bekerja hati-hati agar tidak mencampuradukkan saksi, orang yang mengetahui, dan pelaku tindak pidana.</w:t>
      </w:r>
      <w:r>
        <w:rPr>
          <w:rStyle w:val="FootnoteReference"/>
        </w:rPr>
        <w:footnoteReference w:id="102"/>
      </w:r>
    </w:p>
    <w:p w14:paraId="3982585C" w14:textId="77777777" w:rsidR="00367C0A" w:rsidRDefault="00902A3A" w:rsidP="004402A7">
      <w:pPr>
        <w:spacing w:line="526" w:lineRule="auto"/>
        <w:ind w:firstLine="709"/>
        <w:jc w:val="both"/>
      </w:pPr>
      <w:r>
        <w:t>Dalam pencurian yang dilakukan oleh dua orang atau lebih, unsur penyertaan menjadi dasar untuk melihat pertanggungjawaban para pelaku. Penyertaan menunjukkan bahwa tindak pidana dapat dilakukan melalui kerja sama beberapa orang. Dalam hal ini, penyertaan menjadi instrumen hukum untuk menjelaskan bagaimana beberapa orang dapat bertanggung jawab atas satu tindak pidana yang sama.</w:t>
      </w:r>
      <w:r>
        <w:rPr>
          <w:rStyle w:val="FootnoteReference"/>
        </w:rPr>
        <w:footnoteReference w:id="103"/>
      </w:r>
    </w:p>
    <w:p w14:paraId="58848F6C" w14:textId="77777777" w:rsidR="00367C0A" w:rsidRDefault="00902A3A" w:rsidP="004402A7">
      <w:pPr>
        <w:spacing w:line="526" w:lineRule="auto"/>
        <w:ind w:firstLine="709"/>
        <w:jc w:val="both"/>
      </w:pPr>
      <w:r>
        <w:t xml:space="preserve">Pelaku yang turut serta melakukan pencurian dapat dimintai pertanggungjawaban karena ia ikut mewujudkan perbuatan pidana. Walaupun tidak melakukan seluruh unsur secara sendiri, tindakan pelaku tetap menjadi bagian dari </w:t>
      </w:r>
      <w:r>
        <w:lastRenderedPageBreak/>
        <w:t>rangkaian pencurian. Tindakan turut serta menunjukkan adanya peran aktif dalam mewujudkan pencurian, sehingga pelaku tidak dapat melepaskan diri hanya karena tidak melakukan seluruh unsur sendirian.</w:t>
      </w:r>
      <w:r>
        <w:rPr>
          <w:rStyle w:val="FootnoteReference"/>
        </w:rPr>
        <w:footnoteReference w:id="104"/>
      </w:r>
    </w:p>
    <w:p w14:paraId="707EFF71" w14:textId="77777777" w:rsidR="00367C0A" w:rsidRDefault="00902A3A" w:rsidP="004402A7">
      <w:pPr>
        <w:spacing w:line="526" w:lineRule="auto"/>
        <w:ind w:firstLine="709"/>
        <w:jc w:val="both"/>
      </w:pPr>
      <w:r>
        <w:t>Pelaku yang membantu melakukan pencurian juga dapat bertanggung jawab apabila bantuannya diberikan dengan sadar dan sengaja. Bantuan tersebut dapat berupa informasi, pengawasan, atau bantuan membawa kendaraan. Bantuan yang diberikan secara sadar menunjukkan bahwa pelaku mengetahui tujuan tindakannya dan tetap membantu terlaksananya pencurian.</w:t>
      </w:r>
      <w:r>
        <w:rPr>
          <w:rStyle w:val="FootnoteReference"/>
        </w:rPr>
        <w:footnoteReference w:id="105"/>
      </w:r>
    </w:p>
    <w:p w14:paraId="531A90C1" w14:textId="77777777" w:rsidR="00367C0A" w:rsidRDefault="00902A3A" w:rsidP="004402A7">
      <w:pPr>
        <w:spacing w:line="526" w:lineRule="auto"/>
        <w:ind w:firstLine="709"/>
        <w:jc w:val="both"/>
      </w:pPr>
      <w:r>
        <w:t>Pertanggungjawaban pidana harus didukung oleh alat bukti yang sah. Dalam hukum acara pidana, alat bukti yang sah meliputi keterangan saksi, keterangan ahli, surat, petunjuk, dan keterangan terdakwa. Keberadaan alat bukti yang sah menjadi dasar agar pertanggungjawaban pidana tidak dibangun berdasarkan prasangka atau dugaan semata.</w:t>
      </w:r>
      <w:r>
        <w:rPr>
          <w:rStyle w:val="FootnoteReference"/>
        </w:rPr>
        <w:footnoteReference w:id="106"/>
      </w:r>
    </w:p>
    <w:p w14:paraId="3D301BF2" w14:textId="77777777" w:rsidR="00367C0A" w:rsidRDefault="00902A3A" w:rsidP="004402A7">
      <w:pPr>
        <w:spacing w:line="526" w:lineRule="auto"/>
        <w:ind w:firstLine="709"/>
        <w:jc w:val="both"/>
      </w:pPr>
      <w:r>
        <w:t>Dalam perkara pencurian becak bermotor, alat bukti yang paling sering digunakan adalah keterangan korban, saksi, barang bukti, dan keterangan tersangka. Alat bukti tersebut digunakan untuk membangun hubungan antara pelaku dan peristiwa pencurian. Alat bukti tersebut harus saling mendukung agar hubungan antara pelaku, perbuatan, dan akibat dapat dibuktikan secara meyakinkan.</w:t>
      </w:r>
      <w:r>
        <w:rPr>
          <w:rStyle w:val="FootnoteReference"/>
        </w:rPr>
        <w:footnoteReference w:id="107"/>
      </w:r>
      <w:r>
        <w:t xml:space="preserve"> </w:t>
      </w:r>
    </w:p>
    <w:p w14:paraId="79ACF8F7" w14:textId="77777777" w:rsidR="00367C0A" w:rsidRDefault="00902A3A" w:rsidP="004402A7">
      <w:pPr>
        <w:spacing w:line="526" w:lineRule="auto"/>
        <w:ind w:firstLine="709"/>
        <w:jc w:val="both"/>
      </w:pPr>
      <w:r>
        <w:lastRenderedPageBreak/>
        <w:t>Keterangan tersangka tidak dapat berdiri sendiri sebagai dasar pertanggungjawaban pidana. Keterangan tersebut harus disesuaikan dengan alat bukti lain agar tidak terjadi kekeliruan dalam menentukan kesalahan pelaku. Hal ini penting karena pengakuan dapat berubah, sedangkan pertanggungjawaban pidana harus tetap berdiri di atas pembuktian yang objektif.</w:t>
      </w:r>
      <w:r>
        <w:rPr>
          <w:rStyle w:val="FootnoteReference"/>
        </w:rPr>
        <w:footnoteReference w:id="108"/>
      </w:r>
      <w:r>
        <w:t xml:space="preserve"> </w:t>
      </w:r>
    </w:p>
    <w:p w14:paraId="7BD804B4" w14:textId="77777777" w:rsidR="00367C0A" w:rsidRDefault="00902A3A" w:rsidP="004402A7">
      <w:pPr>
        <w:spacing w:line="526" w:lineRule="auto"/>
        <w:ind w:firstLine="709"/>
        <w:jc w:val="both"/>
      </w:pPr>
      <w:r>
        <w:t>Menurut AIPTU Suseno, kendala dalam menentukan pertanggungjawaban pidana sering muncul ketika pelaku saling menyalahkan. Dalam keadaan seperti itu, penyidik harus menilai keterangan secara hati-hati dan membandingkannya dengan bukti lain. Dalam kondisi demikian, ketelitian penyidik sangat diperlukan untuk menemukan kebenaran materiil dari berbagai keterangan yang saling berbeda.</w:t>
      </w:r>
      <w:r>
        <w:rPr>
          <w:rStyle w:val="FootnoteReference"/>
        </w:rPr>
        <w:footnoteReference w:id="109"/>
      </w:r>
    </w:p>
    <w:p w14:paraId="293959AA" w14:textId="77777777" w:rsidR="00367C0A" w:rsidRDefault="00902A3A" w:rsidP="004402A7">
      <w:pPr>
        <w:spacing w:line="526" w:lineRule="auto"/>
        <w:ind w:firstLine="709"/>
        <w:jc w:val="both"/>
      </w:pPr>
      <w:r>
        <w:t>Barang bukti memiliki peran penting dalam menguatkan pertanggungjawaban pidana. Apabila becak bermotor atau bagian kendaraan ditemukan dalam penguasaan pelaku, maka hal tersebut dapat menjadi petunjuk keterlibatan pelaku. Petunjuk dari barang bukti dapat memperkuat kesimpulan bahwa pelaku tidak hanya mengetahui pencurian, tetapi juga menguasai atau berhubungan dengan hasil curian.</w:t>
      </w:r>
      <w:r>
        <w:rPr>
          <w:rStyle w:val="FootnoteReference"/>
        </w:rPr>
        <w:footnoteReference w:id="110"/>
      </w:r>
    </w:p>
    <w:p w14:paraId="1831945E" w14:textId="77777777" w:rsidR="00367C0A" w:rsidRDefault="00902A3A" w:rsidP="004402A7">
      <w:pPr>
        <w:spacing w:line="526" w:lineRule="auto"/>
        <w:ind w:firstLine="709"/>
        <w:jc w:val="both"/>
      </w:pPr>
      <w:r>
        <w:t xml:space="preserve">Pertanggungjawaban pidana juga harus memperhatikan hubungan sebab akibat antara tindakan pelaku dan terjadinya pencurian. Tindakan pelaku harus memiliki kontribusi terhadap hilangnya penguasaan korban atas becak bermotor. </w:t>
      </w:r>
      <w:r>
        <w:lastRenderedPageBreak/>
        <w:t>Hubungan sebab akibat tersebut menunjukkan bahwa tindakan pelaku memang berpengaruh terhadap terwujudnya tindak pidana dan kerugian korban.</w:t>
      </w:r>
      <w:r>
        <w:rPr>
          <w:rStyle w:val="FootnoteReference"/>
        </w:rPr>
        <w:footnoteReference w:id="111"/>
      </w:r>
      <w:r>
        <w:t xml:space="preserve"> </w:t>
      </w:r>
    </w:p>
    <w:p w14:paraId="4115AA2C" w14:textId="77777777" w:rsidR="00367C0A" w:rsidRDefault="00902A3A" w:rsidP="004402A7">
      <w:pPr>
        <w:spacing w:line="526" w:lineRule="auto"/>
        <w:ind w:firstLine="709"/>
        <w:jc w:val="both"/>
      </w:pPr>
      <w:r>
        <w:t>Apabila seseorang hanya mengetahui setelah pencurian selesai, maka posisinya harus dibedakan dari pelaku pencurian. Penyidik perlu menilai apakah orang tersebut masuk sebagai pelaku pencurian, pembantu, atau pihak yang berkaitan dengan hasil kejahatan. Pembedaan ini diperlukan agar konstruksi pertanggungjawaban tidak keliru antara pelaku pencurian dan pihak yang mungkin hanya terkait dengan barang hasil kejahatan.</w:t>
      </w:r>
      <w:r>
        <w:rPr>
          <w:rStyle w:val="FootnoteReference"/>
        </w:rPr>
        <w:footnoteReference w:id="112"/>
      </w:r>
    </w:p>
    <w:p w14:paraId="772E3385" w14:textId="77777777" w:rsidR="00367C0A" w:rsidRDefault="00902A3A" w:rsidP="004402A7">
      <w:pPr>
        <w:spacing w:line="526" w:lineRule="auto"/>
        <w:ind w:firstLine="709"/>
        <w:jc w:val="both"/>
      </w:pPr>
      <w:r>
        <w:t>Dalam perkara ini, para pelaku dapat bertanggung jawab apabila sejak awal memiliki kehendak bersama untuk mengambil becak bermotor. Kehendak bersama tersebut dapat terlihat dari tindakan yang saling mendukung saat peristiwa terjadi. Kehendak bersama menjadi dasar untuk menyatukan tindakan para pelaku dalam satu rangkaian tindak pidana yang sama.</w:t>
      </w:r>
      <w:r>
        <w:rPr>
          <w:rStyle w:val="FootnoteReference"/>
        </w:rPr>
        <w:footnoteReference w:id="113"/>
      </w:r>
    </w:p>
    <w:p w14:paraId="427B77D7" w14:textId="77777777" w:rsidR="00367C0A" w:rsidRDefault="00902A3A" w:rsidP="004402A7">
      <w:pPr>
        <w:spacing w:line="526" w:lineRule="auto"/>
        <w:ind w:firstLine="709"/>
        <w:jc w:val="both"/>
      </w:pPr>
      <w:r>
        <w:t>Pertanggungjawaban pidana juga berkaitan dengan asas legalitas. Seseorang hanya dapat dipidana apabila perbuatannya telah diatur sebagai tindak pidana dalam peraturan perundang-undangan. Asas ini memberikan batas bagi aparat penegak hukum agar hanya menerapkan pidana berdasarkan aturan yang telah ada sebelumnya.</w:t>
      </w:r>
      <w:r>
        <w:rPr>
          <w:rStyle w:val="FootnoteReference"/>
        </w:rPr>
        <w:footnoteReference w:id="114"/>
      </w:r>
    </w:p>
    <w:p w14:paraId="15B15D22" w14:textId="77777777" w:rsidR="00367C0A" w:rsidRDefault="00902A3A" w:rsidP="004402A7">
      <w:pPr>
        <w:spacing w:line="526" w:lineRule="auto"/>
        <w:ind w:firstLine="709"/>
        <w:jc w:val="both"/>
      </w:pPr>
      <w:r>
        <w:lastRenderedPageBreak/>
        <w:t>Perbuatan mengambil barang milik orang lain secara melawan hukum telah diatur sebagai tindak pidana pencurian. Apabila perbuatan tersebut dilakukan oleh dua orang atau lebih secara bersama-sama, maka unsur pemberatan dapat diterapkan. Dengan demikian, penerapan pasal harus disesuaikan dengan unsur yang terbukti dalam perkara, termasuk unsur bersama-sama sebagai keadaan pemberat.</w:t>
      </w:r>
      <w:r>
        <w:rPr>
          <w:rStyle w:val="FootnoteReference"/>
        </w:rPr>
        <w:footnoteReference w:id="115"/>
      </w:r>
    </w:p>
    <w:p w14:paraId="504E95A7" w14:textId="77777777" w:rsidR="00367C0A" w:rsidRDefault="00902A3A" w:rsidP="004402A7">
      <w:pPr>
        <w:spacing w:line="526" w:lineRule="auto"/>
        <w:ind w:firstLine="709"/>
        <w:jc w:val="both"/>
      </w:pPr>
      <w:r>
        <w:t>Penyidik harus menyesuaikan fakta hukum dengan pasal yang disangkakan. Apabila fakta menunjukkan adanya kerja sama para pelaku, maka konstruksi pasal harus menggambarkan pencurian secara bersama-sama. Penyesuaian tersebut penting agar pasal yang digunakan tidak terlalu ringan atau terlalu berat dibandingkan fakta hukum yang ditemukan.</w:t>
      </w:r>
      <w:r>
        <w:rPr>
          <w:rStyle w:val="FootnoteReference"/>
        </w:rPr>
        <w:footnoteReference w:id="116"/>
      </w:r>
    </w:p>
    <w:p w14:paraId="71CFF943" w14:textId="77777777" w:rsidR="00367C0A" w:rsidRDefault="00902A3A" w:rsidP="004402A7">
      <w:pPr>
        <w:spacing w:line="526" w:lineRule="auto"/>
        <w:ind w:firstLine="709"/>
        <w:jc w:val="both"/>
      </w:pPr>
      <w:r>
        <w:t xml:space="preserve">Hasil wawancara dengan IPDA </w:t>
      </w:r>
      <w:proofErr w:type="spellStart"/>
      <w:r>
        <w:t>Sihar</w:t>
      </w:r>
      <w:proofErr w:type="spellEnd"/>
      <w:r>
        <w:t xml:space="preserve"> M.T. Sihotang, S.H. menunjukkan bahwa peran pelaku dicatat dalam berkas perkara. Catatan tersebut penting agar jaksa dan hakim dapat menilai pertanggungjawaban masing-masing pelaku secara lebih tepat. Pencatatan peran dalam berkas perkara juga membantu menjaga konsistensi antara hasil penyidikan, dakwaan, dan pembuktian di persidangan.</w:t>
      </w:r>
      <w:r>
        <w:rPr>
          <w:rStyle w:val="FootnoteReference"/>
        </w:rPr>
        <w:footnoteReference w:id="117"/>
      </w:r>
      <w:r>
        <w:t xml:space="preserve"> </w:t>
      </w:r>
    </w:p>
    <w:p w14:paraId="529A7820" w14:textId="77777777" w:rsidR="00367C0A" w:rsidRDefault="00902A3A" w:rsidP="004402A7">
      <w:pPr>
        <w:spacing w:line="526" w:lineRule="auto"/>
        <w:ind w:firstLine="709"/>
        <w:jc w:val="both"/>
      </w:pPr>
      <w:r>
        <w:t xml:space="preserve">Dalam pandangan penulis, pertanggungjawaban pidana dalam perkara ini harus diberikan secara proporsional. Artinya, setiap pelaku harus bertanggung jawab sesuai dengan peran, niat, dan kontribusinya dalam tindak pidana. </w:t>
      </w:r>
      <w:proofErr w:type="spellStart"/>
      <w:r>
        <w:lastRenderedPageBreak/>
        <w:t>Proporsionalitas</w:t>
      </w:r>
      <w:proofErr w:type="spellEnd"/>
      <w:r>
        <w:t xml:space="preserve"> ini penting agar pidana tidak hanya bersifat menghukum, tetapi juga mencerminkan keadilan bagi pelaku dan korban.</w:t>
      </w:r>
      <w:r>
        <w:rPr>
          <w:rStyle w:val="FootnoteReference"/>
        </w:rPr>
        <w:footnoteReference w:id="118"/>
      </w:r>
      <w:r>
        <w:t xml:space="preserve"> </w:t>
      </w:r>
    </w:p>
    <w:p w14:paraId="0AFF35FA" w14:textId="77777777" w:rsidR="00367C0A" w:rsidRDefault="00902A3A" w:rsidP="004402A7">
      <w:pPr>
        <w:spacing w:line="526" w:lineRule="auto"/>
        <w:ind w:firstLine="709"/>
        <w:jc w:val="both"/>
      </w:pPr>
      <w:r>
        <w:t>Pertanggungjawaban pidana tidak boleh diberikan secara rata tanpa melihat perbedaan peran. Pelaku yang merencanakan dan mengambil langsung kendaraan tentu memiliki posisi berbeda dengan pelaku yang hanya membantu mengawasi. Perbedaan posisi tersebut harus menjadi perhatian agar penilaian terhadap kesalahan para pelaku tidak dilakukan secara sama rata.</w:t>
      </w:r>
      <w:r>
        <w:rPr>
          <w:rStyle w:val="FootnoteReference"/>
        </w:rPr>
        <w:footnoteReference w:id="119"/>
      </w:r>
    </w:p>
    <w:p w14:paraId="7BC65CD5" w14:textId="77777777" w:rsidR="00367C0A" w:rsidRDefault="00902A3A" w:rsidP="004402A7">
      <w:pPr>
        <w:spacing w:line="526" w:lineRule="auto"/>
        <w:ind w:firstLine="709"/>
        <w:jc w:val="both"/>
      </w:pPr>
      <w:r>
        <w:t>Namun, perbedaan peran tidak otomatis menghapus tanggung jawab pidana. Selama peran tersebut terbukti mendukung terjadinya pencurian, pelaku tetap dapat diproses sesuai ketentuan hukum. Karena itu, pelaku dengan peran kecil tetap dapat bertanggung jawab, tetapi tingkat kesalahannya perlu dinilai secara hati-hati.</w:t>
      </w:r>
      <w:r>
        <w:rPr>
          <w:rStyle w:val="FootnoteReference"/>
        </w:rPr>
        <w:footnoteReference w:id="120"/>
      </w:r>
    </w:p>
    <w:p w14:paraId="03E44D3F" w14:textId="77777777" w:rsidR="00367C0A" w:rsidRDefault="00902A3A" w:rsidP="004402A7">
      <w:pPr>
        <w:spacing w:line="526" w:lineRule="auto"/>
        <w:ind w:firstLine="709"/>
        <w:jc w:val="both"/>
      </w:pPr>
      <w:r>
        <w:t>Pertanggungjawaban pidana terhadap para pelaku juga berfungsi memberikan perlindungan kepada korban. Korban yang kehilangan becak bermotor berhak memperoleh kepastian bahwa perkaranya diproses secara hukum. Perlindungan terhadap korban menjadi bagian dari tujuan hukum pidana karena korban telah dirugikan akibat hilangnya kendaraan yang bernilai ekonomi.</w:t>
      </w:r>
      <w:r>
        <w:rPr>
          <w:rStyle w:val="FootnoteReference"/>
        </w:rPr>
        <w:footnoteReference w:id="121"/>
      </w:r>
    </w:p>
    <w:p w14:paraId="687412B8" w14:textId="77777777" w:rsidR="00367C0A" w:rsidRDefault="00902A3A" w:rsidP="004402A7">
      <w:pPr>
        <w:spacing w:line="526" w:lineRule="auto"/>
        <w:ind w:firstLine="709"/>
        <w:jc w:val="both"/>
      </w:pPr>
      <w:r>
        <w:t xml:space="preserve">Selain memberikan perlindungan kepada korban, pemidanaan juga memiliki fungsi pencegahan. Dengan diprosesnya para pelaku, diharapkan masyarakat tidak </w:t>
      </w:r>
      <w:r>
        <w:lastRenderedPageBreak/>
        <w:t xml:space="preserve">melakukan perbuatan serupa. Fungsi pencegahan ini diharapkan dapat menekan </w:t>
      </w:r>
      <w:proofErr w:type="spellStart"/>
      <w:r>
        <w:t>keberulangan</w:t>
      </w:r>
      <w:proofErr w:type="spellEnd"/>
      <w:r>
        <w:t xml:space="preserve"> tindak pidana pencurian kendaraan di lingkungan masyarakat.</w:t>
      </w:r>
      <w:r>
        <w:rPr>
          <w:rStyle w:val="FootnoteReference"/>
        </w:rPr>
        <w:footnoteReference w:id="122"/>
      </w:r>
    </w:p>
    <w:p w14:paraId="47FF1CD2" w14:textId="77777777" w:rsidR="00367C0A" w:rsidRDefault="00902A3A" w:rsidP="004402A7">
      <w:pPr>
        <w:spacing w:line="526" w:lineRule="auto"/>
        <w:ind w:firstLine="709"/>
        <w:jc w:val="both"/>
      </w:pPr>
      <w:r>
        <w:t>Pencurian becak bermotor secara bersama-sama dapat menimbulkan keresahan di masyarakat. Apabila tidak ditangani secara tegas, masyarakat dapat merasa tidak aman terhadap kepemilikan kendaraan dan harta bendanya. Keresahan tersebut menjadi alasan mengapa penegakan hukum terhadap perkara pencurian kendaraan perlu dilakukan secara tegas dan terukur.</w:t>
      </w:r>
      <w:r>
        <w:rPr>
          <w:rStyle w:val="FootnoteReference"/>
        </w:rPr>
        <w:footnoteReference w:id="123"/>
      </w:r>
      <w:r>
        <w:t xml:space="preserve"> </w:t>
      </w:r>
    </w:p>
    <w:p w14:paraId="2101876C" w14:textId="77777777" w:rsidR="00367C0A" w:rsidRDefault="00902A3A" w:rsidP="004402A7">
      <w:pPr>
        <w:spacing w:line="526" w:lineRule="auto"/>
        <w:ind w:firstLine="709"/>
        <w:jc w:val="both"/>
      </w:pPr>
      <w:r>
        <w:t>Menurut AIPTU Suseno, penyidik berupaya melengkapi berkas perkara dengan keterangan korban, saksi, tersangka, dan barang bukti. Kelengkapan tersebut diperlukan agar perkara dapat dilimpahkan ke tahap berikutnya. Kelengkapan berkas tersebut menunjukkan bahwa pertanggungjawaban pidana harus dibangun melalui proses pembuktian yang sistematis.</w:t>
      </w:r>
      <w:r>
        <w:rPr>
          <w:rStyle w:val="FootnoteReference"/>
        </w:rPr>
        <w:footnoteReference w:id="124"/>
      </w:r>
      <w:r>
        <w:t xml:space="preserve"> </w:t>
      </w:r>
    </w:p>
    <w:p w14:paraId="52B4F99F" w14:textId="77777777" w:rsidR="00367C0A" w:rsidRDefault="00902A3A" w:rsidP="004402A7">
      <w:pPr>
        <w:spacing w:line="526" w:lineRule="auto"/>
        <w:ind w:firstLine="709"/>
        <w:jc w:val="both"/>
      </w:pPr>
      <w:r>
        <w:t>Apabila berkas perkara belum lengkap, penyidik harus melengkapi kembali sesuai petunjuk penuntut umum. Proses ini menunjukkan bahwa pertanggungjawaban pidana harus dibangun dengan pembuktian yang cukup. Petunjuk penuntut umum menjadi bagian dari mekanisme kontrol agar berkas perkara yang diajukan benar-benar memenuhi syarat pembuktian.</w:t>
      </w:r>
      <w:r>
        <w:rPr>
          <w:rStyle w:val="FootnoteReference"/>
        </w:rPr>
        <w:footnoteReference w:id="125"/>
      </w:r>
    </w:p>
    <w:p w14:paraId="03D93C3B" w14:textId="77777777" w:rsidR="00367C0A" w:rsidRDefault="00902A3A" w:rsidP="004402A7">
      <w:pPr>
        <w:spacing w:line="526" w:lineRule="auto"/>
        <w:ind w:firstLine="709"/>
        <w:jc w:val="both"/>
      </w:pPr>
      <w:r>
        <w:lastRenderedPageBreak/>
        <w:t>Pertanggungjawaban pidana juga harus memperhatikan hak-hak tersangka selama proses pemeriksaan. Penyidik wajib menjalankan pemeriksaan sesuai prosedur agar proses hukum tetap adil. Perlindungan hak tersangka diperlukan agar proses penegakan hukum tetap berada dalam koridor hukum acara pidana dan tidak melanggar prinsip keadilan.</w:t>
      </w:r>
      <w:r>
        <w:rPr>
          <w:rStyle w:val="FootnoteReference"/>
        </w:rPr>
        <w:footnoteReference w:id="126"/>
      </w:r>
    </w:p>
    <w:p w14:paraId="3FE85363" w14:textId="77777777" w:rsidR="00367C0A" w:rsidRDefault="00902A3A" w:rsidP="004402A7">
      <w:pPr>
        <w:spacing w:line="526" w:lineRule="auto"/>
        <w:ind w:firstLine="709"/>
        <w:jc w:val="both"/>
      </w:pPr>
      <w:r>
        <w:t>Penegakan hukum yang adil tidak hanya berarti menghukum pelaku, tetapi juga memastikan bahwa orang yang dihukum benar-benar terbukti bersalah. Oleh sebab itu, pembuktian menjadi dasar utama dalam pertanggungjawaban pidana. Dengan pembuktian yang kuat, pemidanaan dapat dipandang sebagai hasil dari proses hukum yang sah, bukan sekadar tindakan represif aparat.</w:t>
      </w:r>
      <w:r>
        <w:rPr>
          <w:rStyle w:val="FootnoteReference"/>
        </w:rPr>
        <w:footnoteReference w:id="127"/>
      </w:r>
    </w:p>
    <w:p w14:paraId="4ED3E065" w14:textId="77777777" w:rsidR="00367C0A" w:rsidRDefault="00902A3A" w:rsidP="004402A7">
      <w:pPr>
        <w:spacing w:line="526" w:lineRule="auto"/>
        <w:ind w:firstLine="709"/>
        <w:jc w:val="both"/>
      </w:pPr>
      <w:r>
        <w:t>Dalam perkara pencurian becak bermotor, kerugian korban menjadi salah satu akibat nyata dari perbuatan para pelaku. Kerugian tersebut memperlihatkan bahwa tindak pidana memiliki dampak langsung terhadap kehidupan korban. Kerugian tersebut memperkuat urgensi penanganan perkara karena korban kehilangan benda yang dapat menunjang kebutuhan hidup sehari-hari.</w:t>
      </w:r>
      <w:r>
        <w:rPr>
          <w:rStyle w:val="FootnoteReference"/>
        </w:rPr>
        <w:footnoteReference w:id="128"/>
      </w:r>
    </w:p>
    <w:p w14:paraId="31545DF5" w14:textId="77777777" w:rsidR="00367C0A" w:rsidRDefault="00902A3A" w:rsidP="004402A7">
      <w:pPr>
        <w:spacing w:line="526" w:lineRule="auto"/>
        <w:ind w:firstLine="709"/>
        <w:jc w:val="both"/>
      </w:pPr>
      <w:r>
        <w:t xml:space="preserve">Namun, besarnya kerugian bukan satu-satunya dasar untuk menentukan pertanggungjawaban pidana. Yang lebih utama adalah terpenuhinya unsur tindak pidana dan terbuktinya kesalahan pelaku. Oleh sebab itu, meskipun kerugian </w:t>
      </w:r>
      <w:r>
        <w:lastRenderedPageBreak/>
        <w:t>korban penting diperhatikan, pembuktian unsur delik tetap menjadi dasar utama untuk menyatakan pelaku bertanggung jawab.</w:t>
      </w:r>
      <w:r>
        <w:rPr>
          <w:rStyle w:val="FootnoteReference"/>
        </w:rPr>
        <w:footnoteReference w:id="129"/>
      </w:r>
    </w:p>
    <w:p w14:paraId="0CA53CA0" w14:textId="77777777" w:rsidR="00367C0A" w:rsidRDefault="00902A3A" w:rsidP="004402A7">
      <w:pPr>
        <w:spacing w:line="526" w:lineRule="auto"/>
        <w:ind w:firstLine="709"/>
        <w:jc w:val="both"/>
      </w:pPr>
      <w:r>
        <w:t>Dalam perkara pencurian secara bersama-sama, pertanggungjawaban pidana juga harus mempertimbangkan tidak adanya alasan penghapus pidana. Apabila tidak ditemukan alasan pembenar atau pemaaf, maka pelaku tetap dapat dimintai pertanggungjawaban. Pertimbangan mengenai alasan penghapus pidana penting agar pertanggungjawaban tidak dibebankan kepada orang yang menurut hukum tidak dapat dicela.</w:t>
      </w:r>
      <w:r>
        <w:rPr>
          <w:rStyle w:val="FootnoteReference"/>
        </w:rPr>
        <w:footnoteReference w:id="130"/>
      </w:r>
    </w:p>
    <w:p w14:paraId="3A137794" w14:textId="77777777" w:rsidR="00367C0A" w:rsidRDefault="00902A3A" w:rsidP="004402A7">
      <w:pPr>
        <w:spacing w:line="526" w:lineRule="auto"/>
        <w:ind w:firstLine="709"/>
        <w:jc w:val="both"/>
      </w:pPr>
      <w:r>
        <w:t>Alasan penghapus pidana dapat menghilangkan sifat melawan hukum atau kesalahan pelaku. Namun, apabila pelaku melakukan pencurian secara sadar dan tanpa paksaan, maka alasan tersebut sulit diterapkan. Dalam perkara pencurian bersama-sama, tidak adanya paksaan dan adanya kesadaran pelaku memperkuat dasar untuk membebankan tanggung jawab pidana.</w:t>
      </w:r>
      <w:r>
        <w:rPr>
          <w:rStyle w:val="FootnoteReference"/>
        </w:rPr>
        <w:footnoteReference w:id="131"/>
      </w:r>
    </w:p>
    <w:p w14:paraId="17DF3E1D" w14:textId="77777777" w:rsidR="00367C0A" w:rsidRDefault="00902A3A" w:rsidP="004402A7">
      <w:pPr>
        <w:spacing w:line="526" w:lineRule="auto"/>
        <w:ind w:firstLine="709"/>
        <w:jc w:val="both"/>
      </w:pPr>
      <w:r>
        <w:t>Dengan demikian, para pelaku pencurian becak bermotor secara bersama-sama dapat dimintai pertanggungjawaban pidana apabila terbukti melakukan, membantu, atau mempermudah pencurian secara sadar. Pertanggungjawaban tersebut didasarkan pada terpenuhinya unsur tindak pidana, adanya kesalahan, dan adanya kemampuan bertanggung jawab. Rumusan tersebut menunjukkan bahwa pertanggungjawaban pidana lahir dari hubungan antara perbuatan melawan hukum, kesalahan, dan kemampuan bertanggung jawab.</w:t>
      </w:r>
    </w:p>
    <w:p w14:paraId="78634A21" w14:textId="77777777" w:rsidR="00D62793" w:rsidRDefault="00902A3A" w:rsidP="007E08C3">
      <w:pPr>
        <w:spacing w:line="526" w:lineRule="auto"/>
        <w:ind w:firstLine="709"/>
        <w:jc w:val="both"/>
      </w:pPr>
      <w:r>
        <w:lastRenderedPageBreak/>
        <w:t xml:space="preserve">Berdasarkan keseluruhan uraian tersebut, pertanggungjawaban pidana para pelaku dalam kasus pencurian becak bermotor di Polsek </w:t>
      </w:r>
      <w:proofErr w:type="spellStart"/>
      <w:r>
        <w:t>Stabat</w:t>
      </w:r>
      <w:proofErr w:type="spellEnd"/>
      <w:r>
        <w:t xml:space="preserve"> merupakan konsekuensi hukum atas perbuatan mengambil barang milik orang lain secara melawan hukum yang dilakukan secara bersama-sama. Setiap pelaku bertanggung jawab sesuai dengan peran dan tingkat kesalahannya dalam rangkaian tindak pidana tersebut. Kesimpulan ini sekaligus menjawab bahwa setiap pelaku tidak hanya bertanggung jawab karena berada dalam kelompok, tetapi karena perannya terbukti mendukung tindak pidana.</w:t>
      </w:r>
    </w:p>
    <w:p w14:paraId="2219A4A0" w14:textId="77777777" w:rsidR="007E08C3" w:rsidRDefault="007E08C3" w:rsidP="007E08C3">
      <w:pPr>
        <w:spacing w:line="526" w:lineRule="auto"/>
        <w:ind w:firstLine="709"/>
        <w:jc w:val="both"/>
      </w:pPr>
    </w:p>
    <w:p w14:paraId="65774C1A" w14:textId="01A3BF1F" w:rsidR="00367C0A" w:rsidRDefault="00367C0A" w:rsidP="007E08C3">
      <w:pPr>
        <w:pStyle w:val="BodyText0"/>
        <w:spacing w:after="0" w:line="240" w:lineRule="auto"/>
        <w:ind w:left="851" w:hanging="851"/>
        <w:jc w:val="both"/>
        <w:rPr>
          <w:color w:val="000000"/>
          <w:sz w:val="24"/>
          <w:szCs w:val="24"/>
          <w:lang w:bidi="id-ID"/>
        </w:rPr>
      </w:pPr>
    </w:p>
    <w:sectPr w:rsidR="00367C0A">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1BB31" w14:textId="77777777" w:rsidR="00AC5D8B" w:rsidRDefault="00AC5D8B">
      <w:r>
        <w:separator/>
      </w:r>
    </w:p>
  </w:endnote>
  <w:endnote w:type="continuationSeparator" w:id="0">
    <w:p w14:paraId="7F064FE8" w14:textId="77777777" w:rsidR="00AC5D8B" w:rsidRDefault="00AC5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9BF2" w14:textId="77777777" w:rsidR="00367C0A" w:rsidRDefault="00367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B910" w14:textId="77777777" w:rsidR="00367C0A" w:rsidRDefault="00902A3A">
    <w:pPr>
      <w:pStyle w:val="Footer"/>
      <w:jc w:val="center"/>
    </w:pPr>
    <w:r>
      <w:fldChar w:fldCharType="begin"/>
    </w:r>
    <w:r>
      <w:instrText xml:space="preserve"> PAGE </w:instrText>
    </w:r>
    <w:r>
      <w:fldChar w:fldCharType="separate"/>
    </w:r>
    <w:r>
      <w:t>54</w:t>
    </w:r>
    <w:r>
      <w:fldChar w:fldCharType="end"/>
    </w:r>
  </w:p>
  <w:p w14:paraId="7FB98774" w14:textId="77777777" w:rsidR="00367C0A" w:rsidRDefault="00367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0E69E" w14:textId="77777777" w:rsidR="00AC5D8B" w:rsidRDefault="00AC5D8B">
      <w:r>
        <w:separator/>
      </w:r>
    </w:p>
  </w:footnote>
  <w:footnote w:type="continuationSeparator" w:id="0">
    <w:p w14:paraId="4CB86414" w14:textId="77777777" w:rsidR="00AC5D8B" w:rsidRDefault="00AC5D8B">
      <w:r>
        <w:continuationSeparator/>
      </w:r>
    </w:p>
  </w:footnote>
  <w:footnote w:id="1">
    <w:p w14:paraId="19790C3D" w14:textId="77777777" w:rsidR="00367C0A" w:rsidRDefault="00902A3A">
      <w:pPr>
        <w:pStyle w:val="FootnoteText"/>
        <w:ind w:firstLine="709"/>
        <w:jc w:val="both"/>
      </w:pPr>
      <w:r>
        <w:rPr>
          <w:rStyle w:val="FootnoteCharacters"/>
        </w:rPr>
        <w:footnoteRef/>
      </w:r>
      <w:r>
        <w:t xml:space="preserve"> R. </w:t>
      </w:r>
      <w:proofErr w:type="spellStart"/>
      <w:r>
        <w:t>Soesilo</w:t>
      </w:r>
      <w:proofErr w:type="spellEnd"/>
      <w:r>
        <w:t xml:space="preserve">, </w:t>
      </w:r>
      <w:r>
        <w:rPr>
          <w:rStyle w:val="Emphasis"/>
        </w:rPr>
        <w:t xml:space="preserve">Kitab </w:t>
      </w:r>
      <w:proofErr w:type="spellStart"/>
      <w:r>
        <w:rPr>
          <w:rStyle w:val="Emphasis"/>
        </w:rPr>
        <w:t>Undang-Undang</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serta</w:t>
      </w:r>
      <w:proofErr w:type="spellEnd"/>
      <w:r>
        <w:rPr>
          <w:rStyle w:val="Emphasis"/>
        </w:rPr>
        <w:t xml:space="preserve"> </w:t>
      </w:r>
      <w:proofErr w:type="spellStart"/>
      <w:r>
        <w:rPr>
          <w:rStyle w:val="Emphasis"/>
        </w:rPr>
        <w:t>Komentar</w:t>
      </w:r>
      <w:proofErr w:type="spellEnd"/>
      <w:r>
        <w:rPr>
          <w:rStyle w:val="Emphasis"/>
        </w:rPr>
        <w:t xml:space="preserve">-Komentarnya </w:t>
      </w:r>
      <w:proofErr w:type="spellStart"/>
      <w:r>
        <w:rPr>
          <w:rStyle w:val="Emphasis"/>
        </w:rPr>
        <w:t>Lengkap</w:t>
      </w:r>
      <w:proofErr w:type="spellEnd"/>
      <w:r>
        <w:rPr>
          <w:rStyle w:val="Emphasis"/>
        </w:rPr>
        <w:t xml:space="preserve"> Pasal demi Pasal</w:t>
      </w:r>
      <w:r>
        <w:t xml:space="preserve"> (Bogor: Politeia, 1995), </w:t>
      </w:r>
      <w:proofErr w:type="spellStart"/>
      <w:r>
        <w:t>hlm</w:t>
      </w:r>
      <w:proofErr w:type="spellEnd"/>
      <w:r>
        <w:t>. 249.</w:t>
      </w:r>
    </w:p>
  </w:footnote>
  <w:footnote w:id="2">
    <w:p w14:paraId="53D74BD6" w14:textId="77777777" w:rsidR="00367C0A" w:rsidRDefault="00902A3A">
      <w:pPr>
        <w:pStyle w:val="FootnoteText"/>
        <w:ind w:firstLine="709"/>
        <w:jc w:val="both"/>
      </w:pPr>
      <w:r>
        <w:rPr>
          <w:rStyle w:val="FootnoteCharacters"/>
        </w:rPr>
        <w:footnoteRef/>
      </w:r>
      <w:r>
        <w:t xml:space="preserve"> </w:t>
      </w:r>
      <w:proofErr w:type="spellStart"/>
      <w:r>
        <w:t>Wirjono</w:t>
      </w:r>
      <w:proofErr w:type="spellEnd"/>
      <w:r>
        <w:t xml:space="preserve"> </w:t>
      </w:r>
      <w:proofErr w:type="spellStart"/>
      <w:r>
        <w:t>Prodjodikoro</w:t>
      </w:r>
      <w:proofErr w:type="spellEnd"/>
      <w:r>
        <w:t xml:space="preserve">, </w:t>
      </w:r>
      <w:proofErr w:type="spellStart"/>
      <w:r>
        <w:rPr>
          <w:rStyle w:val="Emphasis"/>
        </w:rPr>
        <w:t>Tindak-Tindak</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Tertentu</w:t>
      </w:r>
      <w:proofErr w:type="spellEnd"/>
      <w:r>
        <w:rPr>
          <w:rStyle w:val="Emphasis"/>
        </w:rPr>
        <w:t xml:space="preserve"> di Indonesia</w:t>
      </w:r>
      <w:r>
        <w:t xml:space="preserve"> (Bandung: Refika </w:t>
      </w:r>
      <w:proofErr w:type="spellStart"/>
      <w:r>
        <w:t>Aditama</w:t>
      </w:r>
      <w:proofErr w:type="spellEnd"/>
      <w:r>
        <w:t xml:space="preserve">, 2012), </w:t>
      </w:r>
      <w:proofErr w:type="spellStart"/>
      <w:r>
        <w:t>hlm</w:t>
      </w:r>
      <w:proofErr w:type="spellEnd"/>
      <w:r>
        <w:t>. 15.</w:t>
      </w:r>
    </w:p>
  </w:footnote>
  <w:footnote w:id="3">
    <w:p w14:paraId="05853C1E" w14:textId="77777777" w:rsidR="00367C0A" w:rsidRDefault="00902A3A">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2008), </w:t>
      </w:r>
      <w:proofErr w:type="spellStart"/>
      <w:r>
        <w:t>hlm</w:t>
      </w:r>
      <w:proofErr w:type="spellEnd"/>
      <w:r>
        <w:t>. 69.</w:t>
      </w:r>
    </w:p>
  </w:footnote>
  <w:footnote w:id="4">
    <w:p w14:paraId="63600989"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w:t>
      </w:r>
      <w:proofErr w:type="spellStart"/>
      <w:r>
        <w:t>Sihar</w:t>
      </w:r>
      <w:proofErr w:type="spellEnd"/>
      <w:r>
        <w:t xml:space="preserve"> M.T. Sihotang, S.H., </w:t>
      </w:r>
      <w:proofErr w:type="spellStart"/>
      <w:r>
        <w:t>Penyidik</w:t>
      </w:r>
      <w:proofErr w:type="spellEnd"/>
      <w:r>
        <w:t xml:space="preserve"> </w:t>
      </w:r>
      <w:proofErr w:type="spellStart"/>
      <w:r>
        <w:t>Polsek</w:t>
      </w:r>
      <w:proofErr w:type="spellEnd"/>
      <w:r>
        <w:t xml:space="preserve"> Stabat, </w:t>
      </w:r>
      <w:proofErr w:type="spellStart"/>
      <w:r>
        <w:t>tanggal</w:t>
      </w:r>
      <w:proofErr w:type="spellEnd"/>
      <w:r>
        <w:t xml:space="preserve"> 01 Juni 2026.</w:t>
      </w:r>
    </w:p>
  </w:footnote>
  <w:footnote w:id="5">
    <w:p w14:paraId="765AC746" w14:textId="77777777" w:rsidR="00367C0A" w:rsidRDefault="00902A3A">
      <w:pPr>
        <w:pStyle w:val="FootnoteText"/>
        <w:ind w:firstLine="709"/>
        <w:jc w:val="both"/>
      </w:pPr>
      <w:r>
        <w:rPr>
          <w:rStyle w:val="FootnoteCharacters"/>
        </w:rPr>
        <w:footnoteRef/>
      </w:r>
      <w:r>
        <w:t xml:space="preserve"> Adami Chazawi, </w:t>
      </w:r>
      <w:r>
        <w:rPr>
          <w:rStyle w:val="Emphasis"/>
        </w:rPr>
        <w:t xml:space="preserve">Pelajaran Hukum </w:t>
      </w:r>
      <w:proofErr w:type="spellStart"/>
      <w:r>
        <w:rPr>
          <w:rStyle w:val="Emphasis"/>
        </w:rPr>
        <w:t>Pidana</w:t>
      </w:r>
      <w:proofErr w:type="spellEnd"/>
      <w:r>
        <w:rPr>
          <w:rStyle w:val="Emphasis"/>
        </w:rPr>
        <w:t xml:space="preserve"> Bagian 1</w:t>
      </w:r>
      <w:r>
        <w:t xml:space="preserve"> (Jakarta: </w:t>
      </w:r>
      <w:proofErr w:type="spellStart"/>
      <w:r>
        <w:t>RajaGrafindo</w:t>
      </w:r>
      <w:proofErr w:type="spellEnd"/>
      <w:r>
        <w:t xml:space="preserve"> </w:t>
      </w:r>
      <w:proofErr w:type="spellStart"/>
      <w:r>
        <w:t>Persada</w:t>
      </w:r>
      <w:proofErr w:type="spellEnd"/>
      <w:r>
        <w:t xml:space="preserve">, 2010), </w:t>
      </w:r>
      <w:proofErr w:type="spellStart"/>
      <w:r>
        <w:t>hlm</w:t>
      </w:r>
      <w:proofErr w:type="spellEnd"/>
      <w:r>
        <w:t>. 71.</w:t>
      </w:r>
    </w:p>
  </w:footnote>
  <w:footnote w:id="6">
    <w:p w14:paraId="139BC7F6" w14:textId="77777777" w:rsidR="00367C0A" w:rsidRDefault="00902A3A">
      <w:pPr>
        <w:pStyle w:val="FootnoteText"/>
        <w:ind w:firstLine="709"/>
        <w:jc w:val="both"/>
      </w:pPr>
      <w:r>
        <w:rPr>
          <w:rStyle w:val="FootnoteCharacters"/>
        </w:rPr>
        <w:footnoteRef/>
      </w:r>
      <w:r>
        <w:t xml:space="preserve"> P.A.F. </w:t>
      </w:r>
      <w:proofErr w:type="spellStart"/>
      <w:r>
        <w:t>Lamintang</w:t>
      </w:r>
      <w:proofErr w:type="spellEnd"/>
      <w:r>
        <w:t xml:space="preserve">, </w:t>
      </w:r>
      <w:r>
        <w:rPr>
          <w:rStyle w:val="Emphasis"/>
        </w:rPr>
        <w:t xml:space="preserve">Dasar-Dasar Hukum </w:t>
      </w:r>
      <w:proofErr w:type="spellStart"/>
      <w:r>
        <w:rPr>
          <w:rStyle w:val="Emphasis"/>
        </w:rPr>
        <w:t>Pidana</w:t>
      </w:r>
      <w:proofErr w:type="spellEnd"/>
      <w:r>
        <w:rPr>
          <w:rStyle w:val="Emphasis"/>
        </w:rPr>
        <w:t xml:space="preserve"> Indonesia</w:t>
      </w:r>
      <w:r>
        <w:t xml:space="preserve"> (Bandung: Citra Aditya Bakti, 2013), </w:t>
      </w:r>
      <w:proofErr w:type="spellStart"/>
      <w:r>
        <w:t>hlm</w:t>
      </w:r>
      <w:proofErr w:type="spellEnd"/>
      <w:r>
        <w:t>. 193.</w:t>
      </w:r>
    </w:p>
  </w:footnote>
  <w:footnote w:id="7">
    <w:p w14:paraId="5A52E1D6"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AIPTU </w:t>
      </w:r>
      <w:proofErr w:type="spellStart"/>
      <w:r>
        <w:t>Suseno</w:t>
      </w:r>
      <w:proofErr w:type="spellEnd"/>
      <w:r>
        <w:t xml:space="preserve">, </w:t>
      </w:r>
      <w:proofErr w:type="spellStart"/>
      <w:r>
        <w:t>Penyidik</w:t>
      </w:r>
      <w:proofErr w:type="spellEnd"/>
      <w:r>
        <w:t xml:space="preserve"> </w:t>
      </w:r>
      <w:proofErr w:type="spellStart"/>
      <w:r>
        <w:t>Pembantu</w:t>
      </w:r>
      <w:proofErr w:type="spellEnd"/>
      <w:r>
        <w:t xml:space="preserve"> Polsek Stabat, </w:t>
      </w:r>
      <w:proofErr w:type="spellStart"/>
      <w:r>
        <w:t>tanggal</w:t>
      </w:r>
      <w:proofErr w:type="spellEnd"/>
      <w:r>
        <w:t xml:space="preserve"> 01 Juni 2026.</w:t>
      </w:r>
    </w:p>
  </w:footnote>
  <w:footnote w:id="8">
    <w:p w14:paraId="38AEB4CC" w14:textId="77777777" w:rsidR="00367C0A" w:rsidRDefault="00902A3A">
      <w:pPr>
        <w:pStyle w:val="FootnoteText"/>
        <w:ind w:firstLine="709"/>
      </w:pPr>
      <w:r>
        <w:rPr>
          <w:rStyle w:val="FootnoteCharacters"/>
        </w:rPr>
        <w:footnoteRef/>
      </w:r>
      <w:r>
        <w:t xml:space="preserve"> </w:t>
      </w:r>
      <w:proofErr w:type="spellStart"/>
      <w:r>
        <w:t>Tongat</w:t>
      </w:r>
      <w:proofErr w:type="spellEnd"/>
      <w:r>
        <w:t xml:space="preserve">, </w:t>
      </w:r>
      <w:r>
        <w:rPr>
          <w:rStyle w:val="Emphasis"/>
        </w:rPr>
        <w:t xml:space="preserve">Hukum </w:t>
      </w:r>
      <w:proofErr w:type="spellStart"/>
      <w:r>
        <w:rPr>
          <w:rStyle w:val="Emphasis"/>
        </w:rPr>
        <w:t>Pidana</w:t>
      </w:r>
      <w:proofErr w:type="spellEnd"/>
      <w:r>
        <w:rPr>
          <w:rStyle w:val="Emphasis"/>
        </w:rPr>
        <w:t xml:space="preserve"> </w:t>
      </w:r>
      <w:proofErr w:type="spellStart"/>
      <w:r>
        <w:rPr>
          <w:rStyle w:val="Emphasis"/>
        </w:rPr>
        <w:t>Materiil</w:t>
      </w:r>
      <w:proofErr w:type="spellEnd"/>
      <w:r>
        <w:t xml:space="preserve"> (Malang: UMM Press, 2015), </w:t>
      </w:r>
      <w:proofErr w:type="spellStart"/>
      <w:r>
        <w:t>hlm</w:t>
      </w:r>
      <w:proofErr w:type="spellEnd"/>
      <w:r>
        <w:t>. 42.</w:t>
      </w:r>
    </w:p>
  </w:footnote>
  <w:footnote w:id="9">
    <w:p w14:paraId="215AB8B9" w14:textId="77777777" w:rsidR="00367C0A" w:rsidRDefault="00902A3A">
      <w:pPr>
        <w:pStyle w:val="FootnoteText"/>
        <w:ind w:firstLine="709"/>
        <w:jc w:val="both"/>
      </w:pPr>
      <w:r>
        <w:rPr>
          <w:rStyle w:val="FootnoteCharacters"/>
        </w:rPr>
        <w:footnoteRef/>
      </w:r>
      <w:r>
        <w:t xml:space="preserve"> Andi Hamzah, </w:t>
      </w:r>
      <w:proofErr w:type="spellStart"/>
      <w:r>
        <w:rPr>
          <w:rStyle w:val="Emphasis"/>
        </w:rPr>
        <w:t>Delik-Delik</w:t>
      </w:r>
      <w:proofErr w:type="spellEnd"/>
      <w:r>
        <w:rPr>
          <w:rStyle w:val="Emphasis"/>
        </w:rPr>
        <w:t xml:space="preserve"> </w:t>
      </w:r>
      <w:proofErr w:type="spellStart"/>
      <w:r>
        <w:rPr>
          <w:rStyle w:val="Emphasis"/>
        </w:rPr>
        <w:t>Tertentu</w:t>
      </w:r>
      <w:proofErr w:type="spellEnd"/>
      <w:r>
        <w:rPr>
          <w:rStyle w:val="Emphasis"/>
        </w:rPr>
        <w:t xml:space="preserve"> di </w:t>
      </w:r>
      <w:proofErr w:type="spellStart"/>
      <w:r>
        <w:rPr>
          <w:rStyle w:val="Emphasis"/>
        </w:rPr>
        <w:t>dalam</w:t>
      </w:r>
      <w:proofErr w:type="spellEnd"/>
      <w:r>
        <w:rPr>
          <w:rStyle w:val="Emphasis"/>
        </w:rPr>
        <w:t xml:space="preserve"> KUHP</w:t>
      </w:r>
      <w:r>
        <w:t xml:space="preserve"> (Jakarta: Sinar </w:t>
      </w:r>
      <w:proofErr w:type="spellStart"/>
      <w:r>
        <w:t>Grafika</w:t>
      </w:r>
      <w:proofErr w:type="spellEnd"/>
      <w:r>
        <w:t xml:space="preserve">, 2015), </w:t>
      </w:r>
      <w:proofErr w:type="spellStart"/>
      <w:r>
        <w:t>hlm</w:t>
      </w:r>
      <w:proofErr w:type="spellEnd"/>
      <w:r>
        <w:t>. 101.</w:t>
      </w:r>
    </w:p>
  </w:footnote>
  <w:footnote w:id="10">
    <w:p w14:paraId="306D570B" w14:textId="77777777" w:rsidR="00367C0A" w:rsidRDefault="00902A3A">
      <w:pPr>
        <w:pStyle w:val="FootnoteText"/>
        <w:ind w:firstLine="709"/>
        <w:jc w:val="both"/>
      </w:pPr>
      <w:r>
        <w:rPr>
          <w:rStyle w:val="FootnoteCharacters"/>
        </w:rPr>
        <w:footnoteRef/>
      </w:r>
      <w:r>
        <w:t xml:space="preserve"> S.R. </w:t>
      </w:r>
      <w:proofErr w:type="spellStart"/>
      <w:r>
        <w:t>Sianturi</w:t>
      </w:r>
      <w:proofErr w:type="spellEnd"/>
      <w:r>
        <w:t xml:space="preserve">, </w:t>
      </w:r>
      <w:proofErr w:type="spellStart"/>
      <w:r>
        <w:rPr>
          <w:rStyle w:val="Emphasis"/>
        </w:rPr>
        <w:t>Tindak</w:t>
      </w:r>
      <w:proofErr w:type="spellEnd"/>
      <w:r>
        <w:rPr>
          <w:rStyle w:val="Emphasis"/>
        </w:rPr>
        <w:t xml:space="preserve"> </w:t>
      </w:r>
      <w:proofErr w:type="spellStart"/>
      <w:r>
        <w:rPr>
          <w:rStyle w:val="Emphasis"/>
        </w:rPr>
        <w:t>Pidana</w:t>
      </w:r>
      <w:proofErr w:type="spellEnd"/>
      <w:r>
        <w:rPr>
          <w:rStyle w:val="Emphasis"/>
        </w:rPr>
        <w:t xml:space="preserve"> di KUHP </w:t>
      </w:r>
      <w:proofErr w:type="spellStart"/>
      <w:r>
        <w:rPr>
          <w:rStyle w:val="Emphasis"/>
        </w:rPr>
        <w:t>Berikut</w:t>
      </w:r>
      <w:proofErr w:type="spellEnd"/>
      <w:r>
        <w:rPr>
          <w:rStyle w:val="Emphasis"/>
        </w:rPr>
        <w:t xml:space="preserve"> </w:t>
      </w:r>
      <w:proofErr w:type="spellStart"/>
      <w:r>
        <w:rPr>
          <w:rStyle w:val="Emphasis"/>
        </w:rPr>
        <w:t>Uraiannya</w:t>
      </w:r>
      <w:proofErr w:type="spellEnd"/>
      <w:r>
        <w:t xml:space="preserve"> (Jakarta: Alumni AHM-PTHM, 1983), </w:t>
      </w:r>
      <w:proofErr w:type="spellStart"/>
      <w:r>
        <w:t>hlm</w:t>
      </w:r>
      <w:proofErr w:type="spellEnd"/>
      <w:r>
        <w:t>. 590.</w:t>
      </w:r>
    </w:p>
  </w:footnote>
  <w:footnote w:id="11">
    <w:p w14:paraId="6DB0FF8F" w14:textId="77777777" w:rsidR="00367C0A" w:rsidRDefault="00902A3A">
      <w:pPr>
        <w:pStyle w:val="FootnoteText"/>
        <w:ind w:firstLine="709"/>
        <w:jc w:val="both"/>
      </w:pPr>
      <w:r>
        <w:rPr>
          <w:rStyle w:val="FootnoteCharacters"/>
        </w:rPr>
        <w:footnoteRef/>
      </w:r>
      <w:r>
        <w:t xml:space="preserve"> Leden Marpaung, </w:t>
      </w:r>
      <w:proofErr w:type="spellStart"/>
      <w:r>
        <w:rPr>
          <w:rStyle w:val="Emphasis"/>
        </w:rPr>
        <w:t>Tindak</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Harta</w:t>
      </w:r>
      <w:proofErr w:type="spellEnd"/>
      <w:r>
        <w:rPr>
          <w:rStyle w:val="Emphasis"/>
        </w:rPr>
        <w:t xml:space="preserve"> </w:t>
      </w:r>
      <w:proofErr w:type="spellStart"/>
      <w:r>
        <w:rPr>
          <w:rStyle w:val="Emphasis"/>
        </w:rPr>
        <w:t>Kekayaan</w:t>
      </w:r>
      <w:proofErr w:type="spellEnd"/>
      <w:r>
        <w:t xml:space="preserve"> (Jakarta: Sinar </w:t>
      </w:r>
      <w:proofErr w:type="spellStart"/>
      <w:r>
        <w:t>Grafika</w:t>
      </w:r>
      <w:proofErr w:type="spellEnd"/>
      <w:r>
        <w:t xml:space="preserve">, 2009), </w:t>
      </w:r>
      <w:proofErr w:type="spellStart"/>
      <w:r>
        <w:t>hlm</w:t>
      </w:r>
      <w:proofErr w:type="spellEnd"/>
      <w:r>
        <w:t>. 64.</w:t>
      </w:r>
    </w:p>
  </w:footnote>
  <w:footnote w:id="12">
    <w:p w14:paraId="3A49047D" w14:textId="77777777" w:rsidR="00367C0A" w:rsidRDefault="00902A3A">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2016), </w:t>
      </w:r>
      <w:proofErr w:type="spellStart"/>
      <w:r>
        <w:t>hlm</w:t>
      </w:r>
      <w:proofErr w:type="spellEnd"/>
      <w:r>
        <w:t>. 134.</w:t>
      </w:r>
    </w:p>
  </w:footnote>
  <w:footnote w:id="13">
    <w:p w14:paraId="1E3E0CD9" w14:textId="77777777" w:rsidR="00367C0A" w:rsidRDefault="00902A3A">
      <w:pPr>
        <w:pStyle w:val="FootnoteText"/>
        <w:ind w:firstLine="709"/>
        <w:jc w:val="both"/>
      </w:pPr>
      <w:r>
        <w:rPr>
          <w:rStyle w:val="FootnoteCharacters"/>
        </w:rPr>
        <w:footnoteRef/>
      </w:r>
      <w:r>
        <w:t xml:space="preserve"> R. </w:t>
      </w:r>
      <w:proofErr w:type="spellStart"/>
      <w:r>
        <w:t>Soesilo</w:t>
      </w:r>
      <w:proofErr w:type="spellEnd"/>
      <w:r>
        <w:t xml:space="preserve">, </w:t>
      </w:r>
      <w:proofErr w:type="spellStart"/>
      <w:r>
        <w:rPr>
          <w:rStyle w:val="Emphasis"/>
        </w:rPr>
        <w:t>Pokok-Pokok</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Peraturan</w:t>
      </w:r>
      <w:proofErr w:type="spellEnd"/>
      <w:r>
        <w:rPr>
          <w:rStyle w:val="Emphasis"/>
        </w:rPr>
        <w:t xml:space="preserve"> Umum dan </w:t>
      </w:r>
      <w:proofErr w:type="spellStart"/>
      <w:r>
        <w:rPr>
          <w:rStyle w:val="Emphasis"/>
        </w:rPr>
        <w:t>Delik-Delik</w:t>
      </w:r>
      <w:proofErr w:type="spellEnd"/>
      <w:r>
        <w:rPr>
          <w:rStyle w:val="Emphasis"/>
        </w:rPr>
        <w:t xml:space="preserve"> Khusus</w:t>
      </w:r>
      <w:r>
        <w:t xml:space="preserve"> (Bogor: Politeia, 1991), </w:t>
      </w:r>
      <w:proofErr w:type="spellStart"/>
      <w:r>
        <w:t>hlm</w:t>
      </w:r>
      <w:proofErr w:type="spellEnd"/>
      <w:r>
        <w:t>. 112.</w:t>
      </w:r>
    </w:p>
  </w:footnote>
  <w:footnote w:id="14">
    <w:p w14:paraId="4D7FA7B7"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w:t>
      </w:r>
      <w:proofErr w:type="spellStart"/>
      <w:r>
        <w:t>Sihar</w:t>
      </w:r>
      <w:proofErr w:type="spellEnd"/>
      <w:r>
        <w:t xml:space="preserve"> M.T. Sihotang, S.H., </w:t>
      </w:r>
      <w:proofErr w:type="spellStart"/>
      <w:r>
        <w:t>Penyidik</w:t>
      </w:r>
      <w:proofErr w:type="spellEnd"/>
      <w:r>
        <w:t xml:space="preserve"> </w:t>
      </w:r>
      <w:proofErr w:type="spellStart"/>
      <w:r>
        <w:t>Polsek</w:t>
      </w:r>
      <w:proofErr w:type="spellEnd"/>
      <w:r>
        <w:t xml:space="preserve"> Stabat, </w:t>
      </w:r>
      <w:proofErr w:type="spellStart"/>
      <w:r>
        <w:t>tanggal</w:t>
      </w:r>
      <w:proofErr w:type="spellEnd"/>
      <w:r>
        <w:t xml:space="preserve"> 01 Juni 2026, </w:t>
      </w:r>
      <w:proofErr w:type="spellStart"/>
      <w:r>
        <w:t>tentang</w:t>
      </w:r>
      <w:proofErr w:type="spellEnd"/>
      <w:r>
        <w:t xml:space="preserve"> </w:t>
      </w:r>
      <w:proofErr w:type="spellStart"/>
      <w:r>
        <w:t>pemeriksaan</w:t>
      </w:r>
      <w:proofErr w:type="spellEnd"/>
      <w:r>
        <w:t xml:space="preserve"> </w:t>
      </w:r>
      <w:proofErr w:type="spellStart"/>
      <w:r>
        <w:t>laporan</w:t>
      </w:r>
      <w:proofErr w:type="spellEnd"/>
      <w:r>
        <w:t xml:space="preserve"> korban.</w:t>
      </w:r>
    </w:p>
  </w:footnote>
  <w:footnote w:id="15">
    <w:p w14:paraId="3551EAE0" w14:textId="77777777" w:rsidR="00367C0A" w:rsidRDefault="00902A3A">
      <w:pPr>
        <w:pStyle w:val="FootnoteText"/>
        <w:ind w:firstLine="709"/>
      </w:pPr>
      <w:r>
        <w:rPr>
          <w:rStyle w:val="FootnoteCharacters"/>
        </w:rPr>
        <w:footnoteRef/>
      </w:r>
      <w:r>
        <w:t xml:space="preserve"> </w:t>
      </w:r>
      <w:proofErr w:type="spellStart"/>
      <w:r>
        <w:t>Teguh</w:t>
      </w:r>
      <w:proofErr w:type="spellEnd"/>
      <w:r>
        <w:t xml:space="preserve"> </w:t>
      </w:r>
      <w:proofErr w:type="spellStart"/>
      <w:r>
        <w:t>Prasetyo</w:t>
      </w:r>
      <w:proofErr w:type="spellEnd"/>
      <w:r>
        <w:t xml:space="preserve">, </w:t>
      </w:r>
      <w:r>
        <w:rPr>
          <w:rStyle w:val="Emphasis"/>
        </w:rPr>
        <w:t xml:space="preserve">Hukum </w:t>
      </w:r>
      <w:proofErr w:type="spellStart"/>
      <w:r>
        <w:rPr>
          <w:rStyle w:val="Emphasis"/>
        </w:rPr>
        <w:t>Pidana</w:t>
      </w:r>
      <w:proofErr w:type="spellEnd"/>
      <w:r>
        <w:t xml:space="preserve"> (Jakarta: </w:t>
      </w:r>
      <w:proofErr w:type="spellStart"/>
      <w:r>
        <w:t>Rajawali</w:t>
      </w:r>
      <w:proofErr w:type="spellEnd"/>
      <w:r>
        <w:t xml:space="preserve"> Pers, 2017), </w:t>
      </w:r>
      <w:proofErr w:type="spellStart"/>
      <w:r>
        <w:t>hlm</w:t>
      </w:r>
      <w:proofErr w:type="spellEnd"/>
      <w:r>
        <w:t>. 211.</w:t>
      </w:r>
    </w:p>
  </w:footnote>
  <w:footnote w:id="16">
    <w:p w14:paraId="22AC7396" w14:textId="77777777" w:rsidR="00367C0A" w:rsidRDefault="00902A3A">
      <w:pPr>
        <w:pStyle w:val="FootnoteText"/>
        <w:ind w:firstLine="709"/>
        <w:jc w:val="both"/>
      </w:pPr>
      <w:r>
        <w:rPr>
          <w:rStyle w:val="FootnoteCharacters"/>
        </w:rPr>
        <w:footnoteRef/>
      </w:r>
      <w:r>
        <w:t xml:space="preserve"> E.Y. Kanter dan S.R. Sianturi, </w:t>
      </w:r>
      <w:r>
        <w:rPr>
          <w:rStyle w:val="Emphasis"/>
        </w:rPr>
        <w:t xml:space="preserve">Asas-Asas Hukum </w:t>
      </w:r>
      <w:proofErr w:type="spellStart"/>
      <w:r>
        <w:rPr>
          <w:rStyle w:val="Emphasis"/>
        </w:rPr>
        <w:t>Pidana</w:t>
      </w:r>
      <w:proofErr w:type="spellEnd"/>
      <w:r>
        <w:rPr>
          <w:rStyle w:val="Emphasis"/>
        </w:rPr>
        <w:t xml:space="preserve"> di Indonesia dan </w:t>
      </w:r>
      <w:proofErr w:type="spellStart"/>
      <w:r>
        <w:rPr>
          <w:rStyle w:val="Emphasis"/>
        </w:rPr>
        <w:t>Penerapannya</w:t>
      </w:r>
      <w:proofErr w:type="spellEnd"/>
      <w:r>
        <w:t xml:space="preserve"> (Jakarta: Storia </w:t>
      </w:r>
      <w:proofErr w:type="spellStart"/>
      <w:r>
        <w:t>Grafika</w:t>
      </w:r>
      <w:proofErr w:type="spellEnd"/>
      <w:r>
        <w:t xml:space="preserve">, 2012), </w:t>
      </w:r>
      <w:proofErr w:type="spellStart"/>
      <w:r>
        <w:t>hlm</w:t>
      </w:r>
      <w:proofErr w:type="spellEnd"/>
      <w:r>
        <w:t>. 336.</w:t>
      </w:r>
    </w:p>
  </w:footnote>
  <w:footnote w:id="17">
    <w:p w14:paraId="4CDAFDA9" w14:textId="77777777" w:rsidR="00367C0A" w:rsidRDefault="00902A3A">
      <w:pPr>
        <w:pStyle w:val="FootnoteText"/>
        <w:ind w:firstLine="709"/>
        <w:jc w:val="both"/>
      </w:pPr>
      <w:r>
        <w:rPr>
          <w:rStyle w:val="FootnoteCharacters"/>
        </w:rPr>
        <w:footnoteRef/>
      </w:r>
      <w:r>
        <w:t xml:space="preserve"> </w:t>
      </w:r>
      <w:proofErr w:type="spellStart"/>
      <w:r>
        <w:t>Chairul</w:t>
      </w:r>
      <w:proofErr w:type="spellEnd"/>
      <w:r>
        <w:t xml:space="preserve"> Huda, </w:t>
      </w:r>
      <w:proofErr w:type="spellStart"/>
      <w:r>
        <w:rPr>
          <w:rStyle w:val="Emphasis"/>
        </w:rPr>
        <w:t>Penyertaan</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Tindak</w:t>
      </w:r>
      <w:proofErr w:type="spellEnd"/>
      <w:r>
        <w:rPr>
          <w:rStyle w:val="Emphasis"/>
        </w:rPr>
        <w:t xml:space="preserve"> </w:t>
      </w:r>
      <w:proofErr w:type="spellStart"/>
      <w:r>
        <w:rPr>
          <w:rStyle w:val="Emphasis"/>
        </w:rPr>
        <w:t>Pidana</w:t>
      </w:r>
      <w:proofErr w:type="spellEnd"/>
      <w:r>
        <w:t xml:space="preserve"> (Jakarta: </w:t>
      </w:r>
      <w:proofErr w:type="spellStart"/>
      <w:r>
        <w:t>Kencana</w:t>
      </w:r>
      <w:proofErr w:type="spellEnd"/>
      <w:r>
        <w:t xml:space="preserve">, 2015), </w:t>
      </w:r>
      <w:proofErr w:type="spellStart"/>
      <w:r>
        <w:t>hlm</w:t>
      </w:r>
      <w:proofErr w:type="spellEnd"/>
      <w:r>
        <w:t>. 89.</w:t>
      </w:r>
    </w:p>
  </w:footnote>
  <w:footnote w:id="18">
    <w:p w14:paraId="084210C4"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AIPTU </w:t>
      </w:r>
      <w:proofErr w:type="spellStart"/>
      <w:r>
        <w:t>Suseno</w:t>
      </w:r>
      <w:proofErr w:type="spellEnd"/>
      <w:r>
        <w:t xml:space="preserve">, </w:t>
      </w:r>
      <w:proofErr w:type="spellStart"/>
      <w:r>
        <w:t>Penyidik</w:t>
      </w:r>
      <w:proofErr w:type="spellEnd"/>
      <w:r>
        <w:t xml:space="preserve"> </w:t>
      </w:r>
      <w:proofErr w:type="spellStart"/>
      <w:r>
        <w:t>Pembantu</w:t>
      </w:r>
      <w:proofErr w:type="spellEnd"/>
      <w:r>
        <w:t xml:space="preserve"> Polsek Stabat, </w:t>
      </w:r>
      <w:proofErr w:type="spellStart"/>
      <w:r>
        <w:t>tanggal</w:t>
      </w:r>
      <w:proofErr w:type="spellEnd"/>
      <w:r>
        <w:t xml:space="preserve"> 01 Juni 2026, </w:t>
      </w:r>
      <w:proofErr w:type="spellStart"/>
      <w:r>
        <w:t>tentang</w:t>
      </w:r>
      <w:proofErr w:type="spellEnd"/>
      <w:r>
        <w:t xml:space="preserve"> </w:t>
      </w:r>
      <w:proofErr w:type="spellStart"/>
      <w:r>
        <w:t>penilaian</w:t>
      </w:r>
      <w:proofErr w:type="spellEnd"/>
      <w:r>
        <w:t xml:space="preserve"> </w:t>
      </w:r>
      <w:proofErr w:type="spellStart"/>
      <w:r>
        <w:t>keterlibatan</w:t>
      </w:r>
      <w:proofErr w:type="spellEnd"/>
      <w:r>
        <w:t xml:space="preserve"> </w:t>
      </w:r>
      <w:proofErr w:type="spellStart"/>
      <w:r>
        <w:t>pelaku</w:t>
      </w:r>
      <w:proofErr w:type="spellEnd"/>
      <w:r>
        <w:t>.</w:t>
      </w:r>
    </w:p>
  </w:footnote>
  <w:footnote w:id="19">
    <w:p w14:paraId="6989F6E8" w14:textId="77777777" w:rsidR="00367C0A" w:rsidRDefault="00902A3A">
      <w:pPr>
        <w:pStyle w:val="FootnoteText"/>
        <w:ind w:firstLine="709"/>
        <w:jc w:val="both"/>
      </w:pPr>
      <w:r>
        <w:rPr>
          <w:rStyle w:val="FootnoteCharacters"/>
        </w:rPr>
        <w:footnoteRef/>
      </w:r>
      <w:r>
        <w:t xml:space="preserve"> Eddy O.S. Hiariej, </w:t>
      </w:r>
      <w:proofErr w:type="spellStart"/>
      <w:r>
        <w:rPr>
          <w:rStyle w:val="Emphasis"/>
        </w:rPr>
        <w:t>Prinsip-Prinsip</w:t>
      </w:r>
      <w:proofErr w:type="spellEnd"/>
      <w:r>
        <w:rPr>
          <w:rStyle w:val="Emphasis"/>
        </w:rPr>
        <w:t xml:space="preserve"> Hukum </w:t>
      </w:r>
      <w:proofErr w:type="spellStart"/>
      <w:r>
        <w:rPr>
          <w:rStyle w:val="Emphasis"/>
        </w:rPr>
        <w:t>Pidana</w:t>
      </w:r>
      <w:proofErr w:type="spellEnd"/>
      <w:r>
        <w:t xml:space="preserve"> (Yogyakarta: Cahaya Atma Pustaka, 2016), </w:t>
      </w:r>
      <w:proofErr w:type="spellStart"/>
      <w:r>
        <w:t>hlm</w:t>
      </w:r>
      <w:proofErr w:type="spellEnd"/>
      <w:r>
        <w:t>. 312.</w:t>
      </w:r>
    </w:p>
  </w:footnote>
  <w:footnote w:id="20">
    <w:p w14:paraId="6CD21BF6" w14:textId="77777777" w:rsidR="00367C0A" w:rsidRDefault="00902A3A">
      <w:pPr>
        <w:pStyle w:val="FootnoteText"/>
        <w:ind w:firstLine="709"/>
        <w:jc w:val="both"/>
      </w:pPr>
      <w:r>
        <w:rPr>
          <w:rStyle w:val="FootnoteCharacters"/>
        </w:rPr>
        <w:footnoteRef/>
      </w:r>
      <w:r>
        <w:t xml:space="preserve"> Hari Sasangka dan Lily Rosita, </w:t>
      </w:r>
      <w:r>
        <w:rPr>
          <w:rStyle w:val="Emphasis"/>
        </w:rPr>
        <w:t xml:space="preserve">Hukum </w:t>
      </w:r>
      <w:proofErr w:type="spellStart"/>
      <w:r>
        <w:rPr>
          <w:rStyle w:val="Emphasis"/>
        </w:rPr>
        <w:t>Pembuktian</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Perkara</w:t>
      </w:r>
      <w:proofErr w:type="spellEnd"/>
      <w:r>
        <w:rPr>
          <w:rStyle w:val="Emphasis"/>
        </w:rPr>
        <w:t xml:space="preserve"> </w:t>
      </w:r>
      <w:proofErr w:type="spellStart"/>
      <w:r>
        <w:rPr>
          <w:rStyle w:val="Emphasis"/>
        </w:rPr>
        <w:t>Pidana</w:t>
      </w:r>
      <w:proofErr w:type="spellEnd"/>
      <w:r>
        <w:t xml:space="preserve"> (Bandung: Mandar Maju, 2003), </w:t>
      </w:r>
      <w:proofErr w:type="spellStart"/>
      <w:r>
        <w:t>hlm</w:t>
      </w:r>
      <w:proofErr w:type="spellEnd"/>
      <w:r>
        <w:t>. 99.</w:t>
      </w:r>
    </w:p>
  </w:footnote>
  <w:footnote w:id="21">
    <w:p w14:paraId="5387ABF8" w14:textId="77777777" w:rsidR="00367C0A" w:rsidRDefault="00902A3A">
      <w:pPr>
        <w:pStyle w:val="FootnoteText"/>
        <w:ind w:firstLine="709"/>
        <w:jc w:val="both"/>
      </w:pPr>
      <w:r>
        <w:rPr>
          <w:rStyle w:val="FootnoteCharacters"/>
        </w:rPr>
        <w:footnoteRef/>
      </w:r>
      <w:r>
        <w:t xml:space="preserve"> Andi Hamzah, </w:t>
      </w:r>
      <w:r>
        <w:rPr>
          <w:rStyle w:val="Emphasis"/>
        </w:rPr>
        <w:t xml:space="preserve">Hukum Acara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xml:space="preserve">, 2017), </w:t>
      </w:r>
      <w:proofErr w:type="spellStart"/>
      <w:r>
        <w:t>hlm</w:t>
      </w:r>
      <w:proofErr w:type="spellEnd"/>
      <w:r>
        <w:t>. 254.</w:t>
      </w:r>
    </w:p>
  </w:footnote>
  <w:footnote w:id="22">
    <w:p w14:paraId="16DD2FD3" w14:textId="77777777" w:rsidR="00367C0A" w:rsidRDefault="00902A3A">
      <w:pPr>
        <w:pStyle w:val="FootnoteText"/>
        <w:ind w:firstLine="709"/>
        <w:jc w:val="both"/>
      </w:pPr>
      <w:r>
        <w:rPr>
          <w:rStyle w:val="FootnoteCharacters"/>
        </w:rPr>
        <w:footnoteRef/>
      </w:r>
      <w:r>
        <w:t xml:space="preserve"> Rusli Muhammad, </w:t>
      </w:r>
      <w:r>
        <w:rPr>
          <w:rStyle w:val="Emphasis"/>
        </w:rPr>
        <w:t xml:space="preserve">Hukum Acara </w:t>
      </w:r>
      <w:proofErr w:type="spellStart"/>
      <w:r>
        <w:rPr>
          <w:rStyle w:val="Emphasis"/>
        </w:rPr>
        <w:t>Pidana</w:t>
      </w:r>
      <w:proofErr w:type="spellEnd"/>
      <w:r>
        <w:rPr>
          <w:rStyle w:val="Emphasis"/>
        </w:rPr>
        <w:t xml:space="preserve"> </w:t>
      </w:r>
      <w:proofErr w:type="spellStart"/>
      <w:r>
        <w:rPr>
          <w:rStyle w:val="Emphasis"/>
        </w:rPr>
        <w:t>Kontemporer</w:t>
      </w:r>
      <w:proofErr w:type="spellEnd"/>
      <w:r>
        <w:t xml:space="preserve"> (Bandung: Citra Aditya Bakti, 2007), </w:t>
      </w:r>
      <w:proofErr w:type="spellStart"/>
      <w:r>
        <w:t>hlm</w:t>
      </w:r>
      <w:proofErr w:type="spellEnd"/>
      <w:r>
        <w:t>. 58.</w:t>
      </w:r>
    </w:p>
  </w:footnote>
  <w:footnote w:id="23">
    <w:p w14:paraId="3E806641" w14:textId="77777777" w:rsidR="00367C0A" w:rsidRDefault="00902A3A">
      <w:pPr>
        <w:pStyle w:val="FootnoteText"/>
        <w:ind w:firstLine="709"/>
        <w:jc w:val="both"/>
      </w:pPr>
      <w:r>
        <w:rPr>
          <w:rStyle w:val="FootnoteCharacters"/>
        </w:rPr>
        <w:footnoteRef/>
      </w:r>
      <w:r>
        <w:t xml:space="preserve"> Pasal 1 </w:t>
      </w:r>
      <w:proofErr w:type="spellStart"/>
      <w:r>
        <w:t>angka</w:t>
      </w:r>
      <w:proofErr w:type="spellEnd"/>
      <w:r>
        <w:t xml:space="preserve"> 27,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24">
    <w:p w14:paraId="5EDF92B8" w14:textId="77777777" w:rsidR="00367C0A" w:rsidRDefault="00902A3A">
      <w:pPr>
        <w:pStyle w:val="FootnoteText"/>
        <w:ind w:firstLine="742"/>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w:t>
      </w:r>
      <w:proofErr w:type="spellStart"/>
      <w:r>
        <w:t>Sihar</w:t>
      </w:r>
      <w:proofErr w:type="spellEnd"/>
      <w:r>
        <w:t xml:space="preserve"> M.T. Sihotang, S.H., </w:t>
      </w:r>
      <w:proofErr w:type="spellStart"/>
      <w:r>
        <w:t>Penyidik</w:t>
      </w:r>
      <w:proofErr w:type="spellEnd"/>
      <w:r>
        <w:t xml:space="preserve"> </w:t>
      </w:r>
      <w:proofErr w:type="spellStart"/>
      <w:r>
        <w:t>Polsek</w:t>
      </w:r>
      <w:proofErr w:type="spellEnd"/>
      <w:r>
        <w:t xml:space="preserve"> Stabat, </w:t>
      </w:r>
      <w:proofErr w:type="spellStart"/>
      <w:r>
        <w:t>tanggal</w:t>
      </w:r>
      <w:proofErr w:type="spellEnd"/>
      <w:r>
        <w:t xml:space="preserve"> 01 Juni 2026, </w:t>
      </w:r>
      <w:proofErr w:type="spellStart"/>
      <w:r>
        <w:t>tentang</w:t>
      </w:r>
      <w:proofErr w:type="spellEnd"/>
      <w:r>
        <w:t xml:space="preserve"> </w:t>
      </w:r>
      <w:proofErr w:type="spellStart"/>
      <w:r>
        <w:t>penyusunan</w:t>
      </w:r>
      <w:proofErr w:type="spellEnd"/>
      <w:r>
        <w:t xml:space="preserve"> </w:t>
      </w:r>
      <w:proofErr w:type="spellStart"/>
      <w:r>
        <w:t>kronologi</w:t>
      </w:r>
      <w:proofErr w:type="spellEnd"/>
      <w:r>
        <w:t xml:space="preserve"> </w:t>
      </w:r>
      <w:proofErr w:type="spellStart"/>
      <w:r>
        <w:t>perkara</w:t>
      </w:r>
      <w:proofErr w:type="spellEnd"/>
      <w:r>
        <w:t>.</w:t>
      </w:r>
    </w:p>
  </w:footnote>
  <w:footnote w:id="25">
    <w:p w14:paraId="420C8525" w14:textId="77777777" w:rsidR="00367C0A" w:rsidRDefault="00902A3A">
      <w:pPr>
        <w:pStyle w:val="FootnoteText"/>
        <w:ind w:firstLine="709"/>
      </w:pPr>
      <w:r>
        <w:rPr>
          <w:rStyle w:val="FootnoteCharacters"/>
        </w:rPr>
        <w:footnoteRef/>
      </w:r>
      <w:r>
        <w:t xml:space="preserve"> Pasal 363 </w:t>
      </w:r>
      <w:proofErr w:type="spellStart"/>
      <w:r>
        <w:t>ayat</w:t>
      </w:r>
      <w:proofErr w:type="spellEnd"/>
      <w:r>
        <w:t xml:space="preserve"> (1) ke-4, Kitab </w:t>
      </w:r>
      <w:proofErr w:type="spellStart"/>
      <w:r>
        <w:t>Undang-Undang</w:t>
      </w:r>
      <w:proofErr w:type="spellEnd"/>
      <w:r>
        <w:t xml:space="preserve"> Hukum </w:t>
      </w:r>
      <w:proofErr w:type="spellStart"/>
      <w:r>
        <w:t>Pidana</w:t>
      </w:r>
      <w:proofErr w:type="spellEnd"/>
      <w:r>
        <w:t>.</w:t>
      </w:r>
    </w:p>
  </w:footnote>
  <w:footnote w:id="26">
    <w:p w14:paraId="755CB049" w14:textId="77777777" w:rsidR="00367C0A" w:rsidRDefault="00902A3A">
      <w:pPr>
        <w:pStyle w:val="FootnoteText"/>
        <w:ind w:firstLine="709"/>
      </w:pPr>
      <w:r>
        <w:rPr>
          <w:rStyle w:val="FootnoteCharacters"/>
        </w:rPr>
        <w:footnoteRef/>
      </w:r>
      <w:r>
        <w:t xml:space="preserve"> Jan Remmelink, </w:t>
      </w:r>
      <w:r>
        <w:rPr>
          <w:rStyle w:val="Emphasis"/>
        </w:rPr>
        <w:t xml:space="preserve">Hukum </w:t>
      </w:r>
      <w:proofErr w:type="spellStart"/>
      <w:r>
        <w:rPr>
          <w:rStyle w:val="Emphasis"/>
        </w:rPr>
        <w:t>Pidana</w:t>
      </w:r>
      <w:proofErr w:type="spellEnd"/>
      <w:r>
        <w:t xml:space="preserve"> (Jakarta: Gramedia Pustaka Utama, 2003), </w:t>
      </w:r>
      <w:proofErr w:type="spellStart"/>
      <w:r>
        <w:t>hlm</w:t>
      </w:r>
      <w:proofErr w:type="spellEnd"/>
      <w:r>
        <w:t>. 203.</w:t>
      </w:r>
    </w:p>
  </w:footnote>
  <w:footnote w:id="27">
    <w:p w14:paraId="7FE3C42C" w14:textId="77777777" w:rsidR="00367C0A" w:rsidRDefault="00902A3A">
      <w:pPr>
        <w:pStyle w:val="FootnoteText"/>
        <w:ind w:firstLine="709"/>
      </w:pPr>
      <w:r>
        <w:rPr>
          <w:rStyle w:val="FootnoteCharacters"/>
        </w:rPr>
        <w:footnoteRef/>
      </w:r>
      <w:r>
        <w:t xml:space="preserve"> </w:t>
      </w:r>
      <w:proofErr w:type="spellStart"/>
      <w:r>
        <w:t>Satjipto</w:t>
      </w:r>
      <w:proofErr w:type="spellEnd"/>
      <w:r>
        <w:t xml:space="preserve"> Rahardjo, </w:t>
      </w:r>
      <w:proofErr w:type="spellStart"/>
      <w:r>
        <w:rPr>
          <w:rStyle w:val="Emphasis"/>
        </w:rPr>
        <w:t>Ilmu</w:t>
      </w:r>
      <w:proofErr w:type="spellEnd"/>
      <w:r>
        <w:rPr>
          <w:rStyle w:val="Emphasis"/>
        </w:rPr>
        <w:t xml:space="preserve"> Hukum</w:t>
      </w:r>
      <w:r>
        <w:t xml:space="preserve"> (Bandung: Citra Aditya Bakti, 2014), </w:t>
      </w:r>
      <w:proofErr w:type="spellStart"/>
      <w:r>
        <w:t>hlm</w:t>
      </w:r>
      <w:proofErr w:type="spellEnd"/>
      <w:r>
        <w:t>. 45.</w:t>
      </w:r>
    </w:p>
  </w:footnote>
  <w:footnote w:id="28">
    <w:p w14:paraId="5FE9BC4D" w14:textId="77777777" w:rsidR="00367C0A" w:rsidRDefault="00902A3A">
      <w:pPr>
        <w:pStyle w:val="FootnoteText"/>
        <w:ind w:firstLine="709"/>
        <w:jc w:val="both"/>
      </w:pPr>
      <w:r>
        <w:rPr>
          <w:rStyle w:val="FootnoteCharacters"/>
        </w:rPr>
        <w:footnoteRef/>
      </w:r>
      <w:r>
        <w:t xml:space="preserve"> Bambang Poernomo, </w:t>
      </w:r>
      <w:r>
        <w:rPr>
          <w:rStyle w:val="Emphasis"/>
        </w:rPr>
        <w:t xml:space="preserve">Asas-Asas Hukum </w:t>
      </w:r>
      <w:proofErr w:type="spellStart"/>
      <w:r>
        <w:rPr>
          <w:rStyle w:val="Emphasis"/>
        </w:rPr>
        <w:t>Pidana</w:t>
      </w:r>
      <w:proofErr w:type="spellEnd"/>
      <w:r>
        <w:t xml:space="preserve"> (Jakarta: Ghalia Indonesia, 1994), </w:t>
      </w:r>
      <w:proofErr w:type="spellStart"/>
      <w:r>
        <w:t>hlm</w:t>
      </w:r>
      <w:proofErr w:type="spellEnd"/>
      <w:r>
        <w:t>. 122.</w:t>
      </w:r>
    </w:p>
  </w:footnote>
  <w:footnote w:id="29">
    <w:p w14:paraId="24E9BA9A"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AIPTU </w:t>
      </w:r>
      <w:proofErr w:type="spellStart"/>
      <w:r>
        <w:t>Suseno</w:t>
      </w:r>
      <w:proofErr w:type="spellEnd"/>
      <w:r>
        <w:t xml:space="preserve">, </w:t>
      </w:r>
      <w:proofErr w:type="spellStart"/>
      <w:r>
        <w:t>Penyidik</w:t>
      </w:r>
      <w:proofErr w:type="spellEnd"/>
      <w:r>
        <w:t xml:space="preserve"> </w:t>
      </w:r>
      <w:proofErr w:type="spellStart"/>
      <w:r>
        <w:t>Pembantu</w:t>
      </w:r>
      <w:proofErr w:type="spellEnd"/>
      <w:r>
        <w:t xml:space="preserve"> Polsek Stabat, </w:t>
      </w:r>
      <w:proofErr w:type="spellStart"/>
      <w:r>
        <w:t>tanggal</w:t>
      </w:r>
      <w:proofErr w:type="spellEnd"/>
      <w:r>
        <w:t xml:space="preserve"> 01 Juni 2026, </w:t>
      </w:r>
      <w:proofErr w:type="spellStart"/>
      <w:r>
        <w:t>tentang</w:t>
      </w:r>
      <w:proofErr w:type="spellEnd"/>
      <w:r>
        <w:t xml:space="preserve"> </w:t>
      </w:r>
      <w:proofErr w:type="spellStart"/>
      <w:r>
        <w:t>dampak</w:t>
      </w:r>
      <w:proofErr w:type="spellEnd"/>
      <w:r>
        <w:t xml:space="preserve"> </w:t>
      </w:r>
      <w:proofErr w:type="spellStart"/>
      <w:r>
        <w:t>perkara</w:t>
      </w:r>
      <w:proofErr w:type="spellEnd"/>
      <w:r>
        <w:t xml:space="preserve"> </w:t>
      </w:r>
      <w:proofErr w:type="spellStart"/>
      <w:r>
        <w:t>bagi</w:t>
      </w:r>
      <w:proofErr w:type="spellEnd"/>
      <w:r>
        <w:t xml:space="preserve"> korban.</w:t>
      </w:r>
    </w:p>
  </w:footnote>
  <w:footnote w:id="30">
    <w:p w14:paraId="35A87D9D" w14:textId="77777777" w:rsidR="00367C0A" w:rsidRDefault="00902A3A">
      <w:pPr>
        <w:pStyle w:val="FootnoteText"/>
        <w:ind w:firstLine="709"/>
        <w:jc w:val="both"/>
      </w:pPr>
      <w:r>
        <w:rPr>
          <w:rStyle w:val="FootnoteCharacters"/>
        </w:rPr>
        <w:footnoteRef/>
      </w:r>
      <w:r>
        <w:t xml:space="preserve"> Barda Nawawi Arief, </w:t>
      </w:r>
      <w:r>
        <w:rPr>
          <w:rStyle w:val="Emphasis"/>
        </w:rPr>
        <w:t xml:space="preserve">Bunga </w:t>
      </w:r>
      <w:proofErr w:type="spellStart"/>
      <w:r>
        <w:rPr>
          <w:rStyle w:val="Emphasis"/>
        </w:rPr>
        <w:t>Rampai</w:t>
      </w:r>
      <w:proofErr w:type="spellEnd"/>
      <w:r>
        <w:rPr>
          <w:rStyle w:val="Emphasis"/>
        </w:rPr>
        <w:t xml:space="preserve"> </w:t>
      </w:r>
      <w:proofErr w:type="spellStart"/>
      <w:r>
        <w:rPr>
          <w:rStyle w:val="Emphasis"/>
        </w:rPr>
        <w:t>Kebijakan</w:t>
      </w:r>
      <w:proofErr w:type="spellEnd"/>
      <w:r>
        <w:rPr>
          <w:rStyle w:val="Emphasis"/>
        </w:rPr>
        <w:t xml:space="preserve"> Hukum </w:t>
      </w:r>
      <w:proofErr w:type="spellStart"/>
      <w:r>
        <w:rPr>
          <w:rStyle w:val="Emphasis"/>
        </w:rPr>
        <w:t>Pidana</w:t>
      </w:r>
      <w:proofErr w:type="spellEnd"/>
      <w:r>
        <w:t xml:space="preserve"> (Jakarta: </w:t>
      </w:r>
      <w:proofErr w:type="spellStart"/>
      <w:r>
        <w:t>Kencana</w:t>
      </w:r>
      <w:proofErr w:type="spellEnd"/>
      <w:r>
        <w:t xml:space="preserve">, 2016), </w:t>
      </w:r>
      <w:proofErr w:type="spellStart"/>
      <w:r>
        <w:t>hlm</w:t>
      </w:r>
      <w:proofErr w:type="spellEnd"/>
      <w:r>
        <w:t>. 35.</w:t>
      </w:r>
    </w:p>
  </w:footnote>
  <w:footnote w:id="31">
    <w:p w14:paraId="1BE7B772" w14:textId="77777777" w:rsidR="00367C0A" w:rsidRDefault="00902A3A">
      <w:pPr>
        <w:pStyle w:val="FootnoteText"/>
        <w:ind w:firstLine="709"/>
        <w:jc w:val="both"/>
      </w:pPr>
      <w:r>
        <w:rPr>
          <w:rStyle w:val="FootnoteCharacters"/>
        </w:rPr>
        <w:footnoteRef/>
      </w:r>
      <w:r>
        <w:t xml:space="preserve"> </w:t>
      </w:r>
      <w:proofErr w:type="spellStart"/>
      <w:r>
        <w:t>Moeljatno</w:t>
      </w:r>
      <w:proofErr w:type="spellEnd"/>
      <w:r>
        <w:t xml:space="preserve">, </w:t>
      </w:r>
      <w:r>
        <w:rPr>
          <w:rStyle w:val="Emphasis"/>
        </w:rPr>
        <w:t xml:space="preserve">Hukum </w:t>
      </w:r>
      <w:proofErr w:type="spellStart"/>
      <w:r>
        <w:rPr>
          <w:rStyle w:val="Emphasis"/>
        </w:rPr>
        <w:t>Pidana</w:t>
      </w:r>
      <w:proofErr w:type="spellEnd"/>
      <w:r>
        <w:rPr>
          <w:rStyle w:val="Emphasis"/>
        </w:rPr>
        <w:t xml:space="preserve"> Delik-</w:t>
      </w:r>
      <w:proofErr w:type="spellStart"/>
      <w:r>
        <w:rPr>
          <w:rStyle w:val="Emphasis"/>
        </w:rPr>
        <w:t>Delik</w:t>
      </w:r>
      <w:proofErr w:type="spellEnd"/>
      <w:r>
        <w:rPr>
          <w:rStyle w:val="Emphasis"/>
        </w:rPr>
        <w:t xml:space="preserve"> </w:t>
      </w:r>
      <w:proofErr w:type="spellStart"/>
      <w:r>
        <w:rPr>
          <w:rStyle w:val="Emphasis"/>
        </w:rPr>
        <w:t>Percobaan</w:t>
      </w:r>
      <w:proofErr w:type="spellEnd"/>
      <w:r>
        <w:rPr>
          <w:rStyle w:val="Emphasis"/>
        </w:rPr>
        <w:t xml:space="preserve"> dan </w:t>
      </w:r>
      <w:proofErr w:type="spellStart"/>
      <w:r>
        <w:rPr>
          <w:rStyle w:val="Emphasis"/>
        </w:rPr>
        <w:t>Penyertaan</w:t>
      </w:r>
      <w:proofErr w:type="spellEnd"/>
      <w:r>
        <w:t xml:space="preserve"> (Jakarta: Bina Aksara, 1985), </w:t>
      </w:r>
      <w:proofErr w:type="spellStart"/>
      <w:r>
        <w:t>hlm</w:t>
      </w:r>
      <w:proofErr w:type="spellEnd"/>
      <w:r>
        <w:t>. 73.</w:t>
      </w:r>
    </w:p>
  </w:footnote>
  <w:footnote w:id="32">
    <w:p w14:paraId="237547DD" w14:textId="77777777" w:rsidR="00367C0A" w:rsidRDefault="00902A3A">
      <w:pPr>
        <w:pStyle w:val="FootnoteText"/>
        <w:ind w:firstLine="709"/>
      </w:pPr>
      <w:r>
        <w:rPr>
          <w:rStyle w:val="FootnoteCharacters"/>
        </w:rPr>
        <w:footnoteRef/>
      </w:r>
      <w:r>
        <w:t xml:space="preserve"> </w:t>
      </w:r>
      <w:proofErr w:type="spellStart"/>
      <w:r>
        <w:t>Sudarto</w:t>
      </w:r>
      <w:proofErr w:type="spellEnd"/>
      <w:r>
        <w:t xml:space="preserve">, </w:t>
      </w:r>
      <w:r>
        <w:rPr>
          <w:rStyle w:val="Emphasis"/>
        </w:rPr>
        <w:t xml:space="preserve">Hukum </w:t>
      </w:r>
      <w:proofErr w:type="spellStart"/>
      <w:r>
        <w:rPr>
          <w:rStyle w:val="Emphasis"/>
        </w:rPr>
        <w:t>Pidana</w:t>
      </w:r>
      <w:proofErr w:type="spellEnd"/>
      <w:r>
        <w:rPr>
          <w:rStyle w:val="Emphasis"/>
        </w:rPr>
        <w:t xml:space="preserve"> I</w:t>
      </w:r>
      <w:r>
        <w:t xml:space="preserve"> (Semarang: Yayasan </w:t>
      </w:r>
      <w:proofErr w:type="spellStart"/>
      <w:r>
        <w:t>Sudarto</w:t>
      </w:r>
      <w:proofErr w:type="spellEnd"/>
      <w:r>
        <w:t xml:space="preserve">, 2009), </w:t>
      </w:r>
      <w:proofErr w:type="spellStart"/>
      <w:r>
        <w:t>hlm</w:t>
      </w:r>
      <w:proofErr w:type="spellEnd"/>
      <w:r>
        <w:t>. 87.</w:t>
      </w:r>
    </w:p>
  </w:footnote>
  <w:footnote w:id="33">
    <w:p w14:paraId="6552ACA5" w14:textId="77777777" w:rsidR="00367C0A" w:rsidRDefault="00902A3A">
      <w:pPr>
        <w:pStyle w:val="FootnoteText"/>
        <w:ind w:firstLine="709"/>
        <w:jc w:val="both"/>
      </w:pPr>
      <w:r>
        <w:rPr>
          <w:rStyle w:val="FootnoteCharacters"/>
        </w:rPr>
        <w:footnoteRef/>
      </w:r>
      <w:r>
        <w:t xml:space="preserve"> </w:t>
      </w:r>
      <w:proofErr w:type="spellStart"/>
      <w:r>
        <w:t>Lamintang</w:t>
      </w:r>
      <w:proofErr w:type="spellEnd"/>
      <w:r>
        <w:t xml:space="preserve"> dan Theo Lamintang, </w:t>
      </w:r>
      <w:proofErr w:type="spellStart"/>
      <w:r>
        <w:rPr>
          <w:rStyle w:val="Emphasis"/>
        </w:rPr>
        <w:t>Delik-Delik</w:t>
      </w:r>
      <w:proofErr w:type="spellEnd"/>
      <w:r>
        <w:rPr>
          <w:rStyle w:val="Emphasis"/>
        </w:rPr>
        <w:t xml:space="preserve"> Khusus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Harta</w:t>
      </w:r>
      <w:proofErr w:type="spellEnd"/>
      <w:r>
        <w:rPr>
          <w:rStyle w:val="Emphasis"/>
        </w:rPr>
        <w:t xml:space="preserve"> </w:t>
      </w:r>
      <w:proofErr w:type="spellStart"/>
      <w:r>
        <w:rPr>
          <w:rStyle w:val="Emphasis"/>
        </w:rPr>
        <w:t>Kekayaan</w:t>
      </w:r>
      <w:proofErr w:type="spellEnd"/>
      <w:r>
        <w:t xml:space="preserve"> (Jakarta: Sinar </w:t>
      </w:r>
      <w:proofErr w:type="spellStart"/>
      <w:r>
        <w:t>Grafika</w:t>
      </w:r>
      <w:proofErr w:type="spellEnd"/>
      <w:r>
        <w:t xml:space="preserve">, 2009), </w:t>
      </w:r>
      <w:proofErr w:type="spellStart"/>
      <w:r>
        <w:t>hlm</w:t>
      </w:r>
      <w:proofErr w:type="spellEnd"/>
      <w:r>
        <w:t>. 42.</w:t>
      </w:r>
    </w:p>
  </w:footnote>
  <w:footnote w:id="34">
    <w:p w14:paraId="2FB61B19" w14:textId="77777777" w:rsidR="00367C0A" w:rsidRDefault="00902A3A">
      <w:pPr>
        <w:pStyle w:val="FootnoteText"/>
        <w:ind w:firstLine="709"/>
      </w:pPr>
      <w:r>
        <w:rPr>
          <w:rStyle w:val="FootnoteCharacters"/>
        </w:rPr>
        <w:footnoteRef/>
      </w:r>
      <w:r>
        <w:t xml:space="preserve"> R. </w:t>
      </w:r>
      <w:proofErr w:type="spellStart"/>
      <w:r>
        <w:t>Tresna</w:t>
      </w:r>
      <w:proofErr w:type="spellEnd"/>
      <w:r>
        <w:t xml:space="preserve">, </w:t>
      </w:r>
      <w:r>
        <w:rPr>
          <w:rStyle w:val="Emphasis"/>
        </w:rPr>
        <w:t xml:space="preserve">Asas-Asas Hukum </w:t>
      </w:r>
      <w:proofErr w:type="spellStart"/>
      <w:r>
        <w:rPr>
          <w:rStyle w:val="Emphasis"/>
        </w:rPr>
        <w:t>Pidana</w:t>
      </w:r>
      <w:proofErr w:type="spellEnd"/>
      <w:r>
        <w:t xml:space="preserve"> (Jakarta: Tiara Limited, 2009), </w:t>
      </w:r>
      <w:proofErr w:type="spellStart"/>
      <w:r>
        <w:t>hlm</w:t>
      </w:r>
      <w:proofErr w:type="spellEnd"/>
      <w:r>
        <w:t>. 121.</w:t>
      </w:r>
    </w:p>
  </w:footnote>
  <w:footnote w:id="35">
    <w:p w14:paraId="783A49CC" w14:textId="77777777" w:rsidR="00367C0A" w:rsidRDefault="00902A3A">
      <w:pPr>
        <w:pStyle w:val="FootnoteText"/>
        <w:ind w:firstLine="709"/>
        <w:jc w:val="both"/>
      </w:pPr>
      <w:r>
        <w:rPr>
          <w:rStyle w:val="FootnoteCharacters"/>
        </w:rPr>
        <w:footnoteRef/>
      </w:r>
      <w:r>
        <w:t xml:space="preserve"> Adami Chazawi,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Harta</w:t>
      </w:r>
      <w:proofErr w:type="spellEnd"/>
      <w:r>
        <w:rPr>
          <w:rStyle w:val="Emphasis"/>
        </w:rPr>
        <w:t xml:space="preserve"> Benda</w:t>
      </w:r>
      <w:r>
        <w:t xml:space="preserve"> (Malang: </w:t>
      </w:r>
      <w:proofErr w:type="spellStart"/>
      <w:r>
        <w:t>Bayumedia</w:t>
      </w:r>
      <w:proofErr w:type="spellEnd"/>
      <w:r>
        <w:t xml:space="preserve">, 2006), </w:t>
      </w:r>
      <w:proofErr w:type="spellStart"/>
      <w:r>
        <w:t>hlm</w:t>
      </w:r>
      <w:proofErr w:type="spellEnd"/>
      <w:r>
        <w:t>. 17.</w:t>
      </w:r>
    </w:p>
  </w:footnote>
  <w:footnote w:id="36">
    <w:p w14:paraId="6F2E0E65" w14:textId="77777777" w:rsidR="00367C0A" w:rsidRDefault="00902A3A">
      <w:pPr>
        <w:pStyle w:val="FootnoteText"/>
        <w:ind w:firstLine="709"/>
        <w:jc w:val="both"/>
      </w:pPr>
      <w:r>
        <w:rPr>
          <w:rStyle w:val="FootnoteCharacters"/>
        </w:rPr>
        <w:footnoteRef/>
      </w:r>
      <w:r>
        <w:t xml:space="preserve"> P.A.F. </w:t>
      </w:r>
      <w:proofErr w:type="spellStart"/>
      <w:r>
        <w:t>Lamintang</w:t>
      </w:r>
      <w:proofErr w:type="spellEnd"/>
      <w:r>
        <w:t xml:space="preserve">,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Harta</w:t>
      </w:r>
      <w:proofErr w:type="spellEnd"/>
      <w:r>
        <w:rPr>
          <w:rStyle w:val="Emphasis"/>
        </w:rPr>
        <w:t xml:space="preserve"> </w:t>
      </w:r>
      <w:proofErr w:type="spellStart"/>
      <w:r>
        <w:rPr>
          <w:rStyle w:val="Emphasis"/>
        </w:rPr>
        <w:t>Kekayaan</w:t>
      </w:r>
      <w:proofErr w:type="spellEnd"/>
      <w:r>
        <w:t xml:space="preserve"> (Bandung: Sinar Baru, 1989), </w:t>
      </w:r>
      <w:proofErr w:type="spellStart"/>
      <w:r>
        <w:t>hlm</w:t>
      </w:r>
      <w:proofErr w:type="spellEnd"/>
      <w:r>
        <w:t>. 81.</w:t>
      </w:r>
    </w:p>
  </w:footnote>
  <w:footnote w:id="37">
    <w:p w14:paraId="54EB1920" w14:textId="77777777" w:rsidR="00367C0A" w:rsidRDefault="00902A3A">
      <w:pPr>
        <w:pStyle w:val="FootnoteText"/>
        <w:ind w:firstLine="709"/>
      </w:pPr>
      <w:r>
        <w:rPr>
          <w:rStyle w:val="FootnoteCharacters"/>
        </w:rPr>
        <w:footnoteRef/>
      </w:r>
      <w:r>
        <w:t xml:space="preserve"> Zainal Abidin Farid, </w:t>
      </w:r>
      <w:r>
        <w:rPr>
          <w:rStyle w:val="Emphasis"/>
        </w:rPr>
        <w:t xml:space="preserve">Hukum </w:t>
      </w:r>
      <w:proofErr w:type="spellStart"/>
      <w:r>
        <w:rPr>
          <w:rStyle w:val="Emphasis"/>
        </w:rPr>
        <w:t>Pidana</w:t>
      </w:r>
      <w:proofErr w:type="spellEnd"/>
      <w:r>
        <w:rPr>
          <w:rStyle w:val="Emphasis"/>
        </w:rPr>
        <w:t xml:space="preserve"> I</w:t>
      </w:r>
      <w:r>
        <w:t xml:space="preserve"> (Jakarta: Sinar </w:t>
      </w:r>
      <w:proofErr w:type="spellStart"/>
      <w:r>
        <w:t>Grafika</w:t>
      </w:r>
      <w:proofErr w:type="spellEnd"/>
      <w:r>
        <w:t xml:space="preserve">, 2010), </w:t>
      </w:r>
      <w:proofErr w:type="spellStart"/>
      <w:r>
        <w:t>hlm</w:t>
      </w:r>
      <w:proofErr w:type="spellEnd"/>
      <w:r>
        <w:t>. 177.</w:t>
      </w:r>
    </w:p>
  </w:footnote>
  <w:footnote w:id="38">
    <w:p w14:paraId="5A2FB1C5"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w:t>
      </w:r>
      <w:proofErr w:type="spellStart"/>
      <w:r>
        <w:t>Sihar</w:t>
      </w:r>
      <w:proofErr w:type="spellEnd"/>
      <w:r>
        <w:t xml:space="preserve"> M.T. Sihotang, S.H., </w:t>
      </w:r>
      <w:proofErr w:type="spellStart"/>
      <w:r>
        <w:t>Penyidik</w:t>
      </w:r>
      <w:proofErr w:type="spellEnd"/>
      <w:r>
        <w:t xml:space="preserve"> </w:t>
      </w:r>
      <w:proofErr w:type="spellStart"/>
      <w:r>
        <w:t>Polsek</w:t>
      </w:r>
      <w:proofErr w:type="spellEnd"/>
      <w:r>
        <w:t xml:space="preserve"> Stabat, </w:t>
      </w:r>
      <w:proofErr w:type="spellStart"/>
      <w:r>
        <w:t>tanggal</w:t>
      </w:r>
      <w:proofErr w:type="spellEnd"/>
      <w:r>
        <w:t xml:space="preserve"> 01 Juni 2026, </w:t>
      </w:r>
      <w:proofErr w:type="spellStart"/>
      <w:r>
        <w:t>tentang</w:t>
      </w:r>
      <w:proofErr w:type="spellEnd"/>
      <w:r>
        <w:t xml:space="preserve"> </w:t>
      </w:r>
      <w:proofErr w:type="spellStart"/>
      <w:r>
        <w:t>unsur</w:t>
      </w:r>
      <w:proofErr w:type="spellEnd"/>
      <w:r>
        <w:t xml:space="preserve"> </w:t>
      </w:r>
      <w:proofErr w:type="spellStart"/>
      <w:r>
        <w:t>tanpa</w:t>
      </w:r>
      <w:proofErr w:type="spellEnd"/>
      <w:r>
        <w:t xml:space="preserve"> </w:t>
      </w:r>
      <w:proofErr w:type="spellStart"/>
      <w:r>
        <w:t>izin</w:t>
      </w:r>
      <w:proofErr w:type="spellEnd"/>
      <w:r>
        <w:t xml:space="preserve"> korban.</w:t>
      </w:r>
    </w:p>
  </w:footnote>
  <w:footnote w:id="39">
    <w:p w14:paraId="72C3C7E7" w14:textId="77777777" w:rsidR="00367C0A" w:rsidRDefault="00902A3A">
      <w:pPr>
        <w:pStyle w:val="FootnoteText"/>
        <w:ind w:firstLine="709"/>
        <w:jc w:val="both"/>
      </w:pPr>
      <w:r>
        <w:rPr>
          <w:rStyle w:val="FootnoteCharacters"/>
        </w:rPr>
        <w:footnoteRef/>
      </w:r>
      <w:r>
        <w:t xml:space="preserve"> </w:t>
      </w:r>
      <w:proofErr w:type="spellStart"/>
      <w:r>
        <w:t>Lilik</w:t>
      </w:r>
      <w:proofErr w:type="spellEnd"/>
      <w:r>
        <w:t xml:space="preserve"> Mulyadi, </w:t>
      </w:r>
      <w:proofErr w:type="spellStart"/>
      <w:r>
        <w:rPr>
          <w:rStyle w:val="Emphasis"/>
        </w:rPr>
        <w:t>Kompilasi</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Perspektif</w:t>
      </w:r>
      <w:proofErr w:type="spellEnd"/>
      <w:r>
        <w:rPr>
          <w:rStyle w:val="Emphasis"/>
        </w:rPr>
        <w:t xml:space="preserve"> </w:t>
      </w:r>
      <w:proofErr w:type="spellStart"/>
      <w:r>
        <w:rPr>
          <w:rStyle w:val="Emphasis"/>
        </w:rPr>
        <w:t>Teoretis</w:t>
      </w:r>
      <w:proofErr w:type="spellEnd"/>
      <w:r>
        <w:rPr>
          <w:rStyle w:val="Emphasis"/>
        </w:rPr>
        <w:t xml:space="preserve"> dan </w:t>
      </w:r>
      <w:proofErr w:type="spellStart"/>
      <w:r>
        <w:rPr>
          <w:rStyle w:val="Emphasis"/>
        </w:rPr>
        <w:t>Praktik</w:t>
      </w:r>
      <w:proofErr w:type="spellEnd"/>
      <w:r>
        <w:rPr>
          <w:rStyle w:val="Emphasis"/>
        </w:rPr>
        <w:t xml:space="preserve"> </w:t>
      </w:r>
      <w:proofErr w:type="spellStart"/>
      <w:r>
        <w:rPr>
          <w:rStyle w:val="Emphasis"/>
        </w:rPr>
        <w:t>Peradilan</w:t>
      </w:r>
      <w:proofErr w:type="spellEnd"/>
      <w:r>
        <w:t xml:space="preserve"> (Bandung: Mandar Maju, 2010), </w:t>
      </w:r>
      <w:proofErr w:type="spellStart"/>
      <w:r>
        <w:t>hlm</w:t>
      </w:r>
      <w:proofErr w:type="spellEnd"/>
      <w:r>
        <w:t>. 154.</w:t>
      </w:r>
    </w:p>
  </w:footnote>
  <w:footnote w:id="40">
    <w:p w14:paraId="5BD8D3FD" w14:textId="77777777" w:rsidR="00367C0A" w:rsidRDefault="00902A3A">
      <w:pPr>
        <w:pStyle w:val="FootnoteText"/>
        <w:ind w:firstLine="709"/>
        <w:jc w:val="both"/>
      </w:pPr>
      <w:r>
        <w:rPr>
          <w:rStyle w:val="FootnoteCharacters"/>
        </w:rPr>
        <w:footnoteRef/>
      </w:r>
      <w:r>
        <w:t xml:space="preserve"> Muladi dan Barda Nawawi Arief, </w:t>
      </w:r>
      <w:r>
        <w:rPr>
          <w:rStyle w:val="Emphasis"/>
        </w:rPr>
        <w:t xml:space="preserve">Teori-Teori dan </w:t>
      </w:r>
      <w:proofErr w:type="spellStart"/>
      <w:r>
        <w:rPr>
          <w:rStyle w:val="Emphasis"/>
        </w:rPr>
        <w:t>Kebijakan</w:t>
      </w:r>
      <w:proofErr w:type="spellEnd"/>
      <w:r>
        <w:rPr>
          <w:rStyle w:val="Emphasis"/>
        </w:rPr>
        <w:t xml:space="preserve"> </w:t>
      </w:r>
      <w:proofErr w:type="spellStart"/>
      <w:r>
        <w:rPr>
          <w:rStyle w:val="Emphasis"/>
        </w:rPr>
        <w:t>Pidana</w:t>
      </w:r>
      <w:proofErr w:type="spellEnd"/>
      <w:r>
        <w:t xml:space="preserve"> (Bandung: Alumni, 2010), </w:t>
      </w:r>
      <w:proofErr w:type="spellStart"/>
      <w:r>
        <w:t>hlm</w:t>
      </w:r>
      <w:proofErr w:type="spellEnd"/>
      <w:r>
        <w:t>. 52.</w:t>
      </w:r>
    </w:p>
  </w:footnote>
  <w:footnote w:id="41">
    <w:p w14:paraId="2849807B" w14:textId="77777777" w:rsidR="00367C0A" w:rsidRDefault="00902A3A">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Pemeriksaan</w:t>
      </w:r>
      <w:proofErr w:type="spellEnd"/>
      <w:r>
        <w:rPr>
          <w:rStyle w:val="Emphasis"/>
        </w:rPr>
        <w:t xml:space="preserve"> </w:t>
      </w:r>
      <w:proofErr w:type="spellStart"/>
      <w:r>
        <w:rPr>
          <w:rStyle w:val="Emphasis"/>
        </w:rPr>
        <w:t>Sidang</w:t>
      </w:r>
      <w:proofErr w:type="spellEnd"/>
      <w:r>
        <w:rPr>
          <w:rStyle w:val="Emphasis"/>
        </w:rPr>
        <w:t xml:space="preserve"> Pengadilan, Banding, Kasasi, dan </w:t>
      </w:r>
      <w:proofErr w:type="spellStart"/>
      <w:r>
        <w:rPr>
          <w:rStyle w:val="Emphasis"/>
        </w:rPr>
        <w:t>Peninjauan</w:t>
      </w:r>
      <w:proofErr w:type="spellEnd"/>
      <w:r>
        <w:rPr>
          <w:rStyle w:val="Emphasis"/>
        </w:rPr>
        <w:t xml:space="preserve"> Kembali</w:t>
      </w:r>
      <w:r>
        <w:t xml:space="preserve"> (Jakarta: Sinar </w:t>
      </w:r>
      <w:proofErr w:type="spellStart"/>
      <w:r>
        <w:t>Grafika</w:t>
      </w:r>
      <w:proofErr w:type="spellEnd"/>
      <w:r>
        <w:t xml:space="preserve">, 2016), </w:t>
      </w:r>
      <w:proofErr w:type="spellStart"/>
      <w:r>
        <w:t>hlm</w:t>
      </w:r>
      <w:proofErr w:type="spellEnd"/>
      <w:r>
        <w:t>. 286.</w:t>
      </w:r>
    </w:p>
  </w:footnote>
  <w:footnote w:id="42">
    <w:p w14:paraId="26D2B3EB" w14:textId="77777777" w:rsidR="00367C0A" w:rsidRDefault="00902A3A">
      <w:pPr>
        <w:pStyle w:val="FootnoteText"/>
        <w:ind w:firstLine="709"/>
        <w:jc w:val="both"/>
      </w:pPr>
      <w:r>
        <w:rPr>
          <w:rStyle w:val="FootnoteCharacters"/>
        </w:rPr>
        <w:footnoteRef/>
      </w:r>
      <w:r>
        <w:t xml:space="preserve"> Pasal 184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43">
    <w:p w14:paraId="7C4D11EA" w14:textId="77777777" w:rsidR="00367C0A" w:rsidRDefault="00902A3A">
      <w:pPr>
        <w:pStyle w:val="FootnoteText"/>
        <w:ind w:firstLine="709"/>
        <w:jc w:val="both"/>
      </w:pPr>
      <w:r>
        <w:rPr>
          <w:rStyle w:val="FootnoteCharacters"/>
        </w:rPr>
        <w:footnoteRef/>
      </w:r>
      <w:r>
        <w:t xml:space="preserve"> </w:t>
      </w:r>
      <w:proofErr w:type="spellStart"/>
      <w:r>
        <w:t>Roeslan</w:t>
      </w:r>
      <w:proofErr w:type="spellEnd"/>
      <w:r>
        <w:t xml:space="preserve"> Saleh, </w:t>
      </w:r>
      <w:proofErr w:type="spellStart"/>
      <w:r>
        <w:rPr>
          <w:rStyle w:val="Emphasis"/>
        </w:rPr>
        <w:t>Perbuatan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Pertanggungjawaban</w:t>
      </w:r>
      <w:proofErr w:type="spellEnd"/>
      <w:r>
        <w:rPr>
          <w:rStyle w:val="Emphasis"/>
        </w:rPr>
        <w:t xml:space="preserve"> </w:t>
      </w:r>
      <w:proofErr w:type="spellStart"/>
      <w:r>
        <w:rPr>
          <w:rStyle w:val="Emphasis"/>
        </w:rPr>
        <w:t>Pidana</w:t>
      </w:r>
      <w:proofErr w:type="spellEnd"/>
      <w:r>
        <w:t xml:space="preserve"> (Jakarta: Aksara Baru, 1983), </w:t>
      </w:r>
      <w:proofErr w:type="spellStart"/>
      <w:r>
        <w:t>hlm</w:t>
      </w:r>
      <w:proofErr w:type="spellEnd"/>
      <w:r>
        <w:t>. 81.</w:t>
      </w:r>
    </w:p>
  </w:footnote>
  <w:footnote w:id="44">
    <w:p w14:paraId="33B52C27" w14:textId="77777777" w:rsidR="00367C0A" w:rsidRDefault="00902A3A">
      <w:pPr>
        <w:pStyle w:val="FootnoteText"/>
        <w:ind w:firstLine="709"/>
        <w:jc w:val="both"/>
      </w:pPr>
      <w:r>
        <w:rPr>
          <w:rStyle w:val="FootnoteCharacters"/>
        </w:rPr>
        <w:footnoteRef/>
      </w:r>
      <w:r>
        <w:t xml:space="preserve"> </w:t>
      </w:r>
      <w:proofErr w:type="spellStart"/>
      <w:r>
        <w:t>Romli</w:t>
      </w:r>
      <w:proofErr w:type="spellEnd"/>
      <w:r>
        <w:t xml:space="preserve"> </w:t>
      </w:r>
      <w:proofErr w:type="spellStart"/>
      <w:r>
        <w:t>Atmasasmita</w:t>
      </w:r>
      <w:proofErr w:type="spellEnd"/>
      <w:r>
        <w:t xml:space="preserve">, </w:t>
      </w:r>
      <w:proofErr w:type="spellStart"/>
      <w:r>
        <w:rPr>
          <w:rStyle w:val="Emphasis"/>
        </w:rPr>
        <w:t>Sistem</w:t>
      </w:r>
      <w:proofErr w:type="spellEnd"/>
      <w:r>
        <w:rPr>
          <w:rStyle w:val="Emphasis"/>
        </w:rPr>
        <w:t xml:space="preserve"> </w:t>
      </w:r>
      <w:proofErr w:type="spellStart"/>
      <w:r>
        <w:rPr>
          <w:rStyle w:val="Emphasis"/>
        </w:rPr>
        <w:t>Peradilan</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Kontemporer</w:t>
      </w:r>
      <w:proofErr w:type="spellEnd"/>
      <w:r>
        <w:t xml:space="preserve"> (Jakarta: </w:t>
      </w:r>
      <w:proofErr w:type="spellStart"/>
      <w:r>
        <w:t>Kencana</w:t>
      </w:r>
      <w:proofErr w:type="spellEnd"/>
      <w:r>
        <w:t xml:space="preserve">, 2010), </w:t>
      </w:r>
      <w:proofErr w:type="spellStart"/>
      <w:r>
        <w:t>hlm</w:t>
      </w:r>
      <w:proofErr w:type="spellEnd"/>
      <w:r>
        <w:t>. 78.</w:t>
      </w:r>
    </w:p>
  </w:footnote>
  <w:footnote w:id="45">
    <w:p w14:paraId="486BAE9B" w14:textId="77777777" w:rsidR="00367C0A" w:rsidRDefault="00902A3A">
      <w:pPr>
        <w:pStyle w:val="FootnoteText"/>
        <w:ind w:firstLine="709"/>
        <w:jc w:val="both"/>
      </w:pPr>
      <w:r>
        <w:rPr>
          <w:rStyle w:val="FootnoteCharacters"/>
        </w:rPr>
        <w:footnoteRef/>
      </w:r>
      <w:r>
        <w:t xml:space="preserve"> Adami Chazawi, </w:t>
      </w:r>
      <w:r>
        <w:rPr>
          <w:rStyle w:val="Emphasis"/>
        </w:rPr>
        <w:t xml:space="preserve">Pelajaran Hukum </w:t>
      </w:r>
      <w:proofErr w:type="spellStart"/>
      <w:r>
        <w:rPr>
          <w:rStyle w:val="Emphasis"/>
        </w:rPr>
        <w:t>Pidana</w:t>
      </w:r>
      <w:proofErr w:type="spellEnd"/>
      <w:r>
        <w:rPr>
          <w:rStyle w:val="Emphasis"/>
        </w:rPr>
        <w:t xml:space="preserve"> Bagian 3</w:t>
      </w:r>
      <w:r>
        <w:t xml:space="preserve"> (Jakarta: </w:t>
      </w:r>
      <w:proofErr w:type="spellStart"/>
      <w:r>
        <w:t>RajaGrafindo</w:t>
      </w:r>
      <w:proofErr w:type="spellEnd"/>
      <w:r>
        <w:t xml:space="preserve"> </w:t>
      </w:r>
      <w:proofErr w:type="spellStart"/>
      <w:r>
        <w:t>Persada</w:t>
      </w:r>
      <w:proofErr w:type="spellEnd"/>
      <w:r>
        <w:t xml:space="preserve">, 2011), </w:t>
      </w:r>
      <w:proofErr w:type="spellStart"/>
      <w:r>
        <w:t>hlm</w:t>
      </w:r>
      <w:proofErr w:type="spellEnd"/>
      <w:r>
        <w:t>. 12.</w:t>
      </w:r>
    </w:p>
  </w:footnote>
  <w:footnote w:id="46">
    <w:p w14:paraId="6616535D" w14:textId="77777777" w:rsidR="00367C0A" w:rsidRDefault="00902A3A">
      <w:pPr>
        <w:pStyle w:val="FootnoteText"/>
        <w:ind w:firstLine="709"/>
      </w:pPr>
      <w:r>
        <w:rPr>
          <w:rStyle w:val="FootnoteCharacters"/>
        </w:rPr>
        <w:footnoteRef/>
      </w:r>
      <w:r>
        <w:t xml:space="preserve"> </w:t>
      </w:r>
      <w:proofErr w:type="spellStart"/>
      <w:r>
        <w:t>Chairul</w:t>
      </w:r>
      <w:proofErr w:type="spellEnd"/>
      <w:r>
        <w:t xml:space="preserve"> Huda, </w:t>
      </w:r>
      <w:proofErr w:type="spellStart"/>
      <w:r>
        <w:rPr>
          <w:rStyle w:val="Emphasis"/>
        </w:rPr>
        <w:t>Penyertaan</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Tindak</w:t>
      </w:r>
      <w:proofErr w:type="spellEnd"/>
      <w:r>
        <w:rPr>
          <w:rStyle w:val="Emphasis"/>
        </w:rPr>
        <w:t xml:space="preserve"> </w:t>
      </w:r>
      <w:proofErr w:type="spellStart"/>
      <w:r>
        <w:rPr>
          <w:rStyle w:val="Emphasis"/>
        </w:rPr>
        <w:t>Pidana</w:t>
      </w:r>
      <w:proofErr w:type="spellEnd"/>
      <w:r>
        <w:t xml:space="preserve"> (Jakarta: </w:t>
      </w:r>
      <w:proofErr w:type="spellStart"/>
      <w:r>
        <w:t>Kencana</w:t>
      </w:r>
      <w:proofErr w:type="spellEnd"/>
      <w:r>
        <w:t xml:space="preserve">, 2015), </w:t>
      </w:r>
      <w:proofErr w:type="spellStart"/>
      <w:r>
        <w:t>hlm</w:t>
      </w:r>
      <w:proofErr w:type="spellEnd"/>
      <w:r>
        <w:t>. 89.</w:t>
      </w:r>
    </w:p>
  </w:footnote>
  <w:footnote w:id="47">
    <w:p w14:paraId="0188F593"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w:t>
      </w:r>
      <w:proofErr w:type="spellStart"/>
      <w:r>
        <w:t>Sihar</w:t>
      </w:r>
      <w:proofErr w:type="spellEnd"/>
      <w:r>
        <w:t xml:space="preserve"> M.T. Sihotang, S.H., </w:t>
      </w:r>
      <w:proofErr w:type="spellStart"/>
      <w:r>
        <w:t>Penyidik</w:t>
      </w:r>
      <w:proofErr w:type="spellEnd"/>
      <w:r>
        <w:t xml:space="preserve"> </w:t>
      </w:r>
      <w:proofErr w:type="spellStart"/>
      <w:r>
        <w:t>Polsek</w:t>
      </w:r>
      <w:proofErr w:type="spellEnd"/>
      <w:r>
        <w:t xml:space="preserve"> Stabat, </w:t>
      </w:r>
      <w:proofErr w:type="spellStart"/>
      <w:r>
        <w:t>tanggal</w:t>
      </w:r>
      <w:proofErr w:type="spellEnd"/>
      <w:r>
        <w:t xml:space="preserve"> 01 Juni 2026.</w:t>
      </w:r>
    </w:p>
  </w:footnote>
  <w:footnote w:id="48">
    <w:p w14:paraId="7E41B342" w14:textId="77777777" w:rsidR="00367C0A" w:rsidRDefault="00902A3A">
      <w:pPr>
        <w:pStyle w:val="FootnoteText"/>
        <w:ind w:firstLine="709"/>
        <w:jc w:val="both"/>
      </w:pPr>
      <w:r>
        <w:rPr>
          <w:rStyle w:val="FootnoteCharacters"/>
        </w:rPr>
        <w:footnoteRef/>
      </w:r>
      <w:r>
        <w:t xml:space="preserve"> </w:t>
      </w:r>
      <w:proofErr w:type="spellStart"/>
      <w:r>
        <w:t>Moeljatno</w:t>
      </w:r>
      <w:proofErr w:type="spellEnd"/>
      <w:r>
        <w:t xml:space="preserve">, </w:t>
      </w:r>
      <w:r>
        <w:rPr>
          <w:rStyle w:val="Emphasis"/>
        </w:rPr>
        <w:t xml:space="preserve">Hukum </w:t>
      </w:r>
      <w:proofErr w:type="spellStart"/>
      <w:r>
        <w:rPr>
          <w:rStyle w:val="Emphasis"/>
        </w:rPr>
        <w:t>Pidana</w:t>
      </w:r>
      <w:proofErr w:type="spellEnd"/>
      <w:r>
        <w:rPr>
          <w:rStyle w:val="Emphasis"/>
        </w:rPr>
        <w:t xml:space="preserve"> Delik-</w:t>
      </w:r>
      <w:proofErr w:type="spellStart"/>
      <w:r>
        <w:rPr>
          <w:rStyle w:val="Emphasis"/>
        </w:rPr>
        <w:t>Delik</w:t>
      </w:r>
      <w:proofErr w:type="spellEnd"/>
      <w:r>
        <w:rPr>
          <w:rStyle w:val="Emphasis"/>
        </w:rPr>
        <w:t xml:space="preserve"> </w:t>
      </w:r>
      <w:proofErr w:type="spellStart"/>
      <w:r>
        <w:rPr>
          <w:rStyle w:val="Emphasis"/>
        </w:rPr>
        <w:t>Percobaan</w:t>
      </w:r>
      <w:proofErr w:type="spellEnd"/>
      <w:r>
        <w:rPr>
          <w:rStyle w:val="Emphasis"/>
        </w:rPr>
        <w:t xml:space="preserve"> dan </w:t>
      </w:r>
      <w:proofErr w:type="spellStart"/>
      <w:r>
        <w:rPr>
          <w:rStyle w:val="Emphasis"/>
        </w:rPr>
        <w:t>Penyertaan</w:t>
      </w:r>
      <w:proofErr w:type="spellEnd"/>
      <w:r>
        <w:t xml:space="preserve"> (Jakarta: Bina Aksara, 1985), </w:t>
      </w:r>
      <w:proofErr w:type="spellStart"/>
      <w:r>
        <w:t>hlm</w:t>
      </w:r>
      <w:proofErr w:type="spellEnd"/>
      <w:r>
        <w:t>. 73.</w:t>
      </w:r>
    </w:p>
  </w:footnote>
  <w:footnote w:id="49">
    <w:p w14:paraId="3986E749" w14:textId="77777777" w:rsidR="00367C0A" w:rsidRDefault="00902A3A">
      <w:pPr>
        <w:pStyle w:val="FootnoteText"/>
        <w:ind w:firstLine="709"/>
        <w:jc w:val="both"/>
      </w:pPr>
      <w:r>
        <w:rPr>
          <w:rStyle w:val="FootnoteCharacters"/>
        </w:rPr>
        <w:footnoteRef/>
      </w:r>
      <w:r>
        <w:t xml:space="preserve"> P.A.F. </w:t>
      </w:r>
      <w:proofErr w:type="spellStart"/>
      <w:r>
        <w:t>Lamintang</w:t>
      </w:r>
      <w:proofErr w:type="spellEnd"/>
      <w:r>
        <w:t xml:space="preserve"> dan Theo Lamintang, </w:t>
      </w:r>
      <w:proofErr w:type="spellStart"/>
      <w:r>
        <w:rPr>
          <w:rStyle w:val="Emphasis"/>
        </w:rPr>
        <w:t>Delik-Delik</w:t>
      </w:r>
      <w:proofErr w:type="spellEnd"/>
      <w:r>
        <w:rPr>
          <w:rStyle w:val="Emphasis"/>
        </w:rPr>
        <w:t xml:space="preserve"> Khusus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Harta</w:t>
      </w:r>
      <w:proofErr w:type="spellEnd"/>
      <w:r>
        <w:rPr>
          <w:rStyle w:val="Emphasis"/>
        </w:rPr>
        <w:t xml:space="preserve"> </w:t>
      </w:r>
      <w:proofErr w:type="spellStart"/>
      <w:r>
        <w:rPr>
          <w:rStyle w:val="Emphasis"/>
        </w:rPr>
        <w:t>Kekayaan</w:t>
      </w:r>
      <w:proofErr w:type="spellEnd"/>
      <w:r>
        <w:t xml:space="preserve"> (Jakarta: Sinar </w:t>
      </w:r>
      <w:proofErr w:type="spellStart"/>
      <w:r>
        <w:t>Grafika</w:t>
      </w:r>
      <w:proofErr w:type="spellEnd"/>
      <w:r>
        <w:t xml:space="preserve">, 2009), </w:t>
      </w:r>
      <w:proofErr w:type="spellStart"/>
      <w:r>
        <w:t>hlm</w:t>
      </w:r>
      <w:proofErr w:type="spellEnd"/>
      <w:r>
        <w:t>. 37.</w:t>
      </w:r>
    </w:p>
  </w:footnote>
  <w:footnote w:id="50">
    <w:p w14:paraId="0763A7BA" w14:textId="77777777" w:rsidR="00367C0A" w:rsidRDefault="00902A3A">
      <w:pPr>
        <w:pStyle w:val="FootnoteText"/>
        <w:ind w:firstLine="709"/>
        <w:jc w:val="both"/>
      </w:pPr>
      <w:r>
        <w:rPr>
          <w:rStyle w:val="FootnoteCharacters"/>
        </w:rPr>
        <w:footnoteRef/>
      </w:r>
      <w:r>
        <w:t xml:space="preserve"> Andi Sofyan dan Nur Azisa, </w:t>
      </w:r>
      <w:r>
        <w:rPr>
          <w:rStyle w:val="Emphasis"/>
        </w:rPr>
        <w:t xml:space="preserve">Hukum </w:t>
      </w:r>
      <w:proofErr w:type="spellStart"/>
      <w:r>
        <w:rPr>
          <w:rStyle w:val="Emphasis"/>
        </w:rPr>
        <w:t>Pidana</w:t>
      </w:r>
      <w:proofErr w:type="spellEnd"/>
      <w:r>
        <w:t xml:space="preserve"> (Makassar: Pustaka Pena Press, 2016), </w:t>
      </w:r>
      <w:proofErr w:type="spellStart"/>
      <w:r>
        <w:t>hlm</w:t>
      </w:r>
      <w:proofErr w:type="spellEnd"/>
      <w:r>
        <w:t>. 184.</w:t>
      </w:r>
    </w:p>
  </w:footnote>
  <w:footnote w:id="51">
    <w:p w14:paraId="152633A2"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AIPTU </w:t>
      </w:r>
      <w:proofErr w:type="spellStart"/>
      <w:r>
        <w:t>Suseno</w:t>
      </w:r>
      <w:proofErr w:type="spellEnd"/>
      <w:r>
        <w:t xml:space="preserve">, </w:t>
      </w:r>
      <w:proofErr w:type="spellStart"/>
      <w:r>
        <w:t>Penyidik</w:t>
      </w:r>
      <w:proofErr w:type="spellEnd"/>
      <w:r>
        <w:t xml:space="preserve"> </w:t>
      </w:r>
      <w:proofErr w:type="spellStart"/>
      <w:r>
        <w:t>Pembantu</w:t>
      </w:r>
      <w:proofErr w:type="spellEnd"/>
      <w:r>
        <w:t xml:space="preserve"> Polsek Stabat, </w:t>
      </w:r>
      <w:proofErr w:type="spellStart"/>
      <w:r>
        <w:t>tanggal</w:t>
      </w:r>
      <w:proofErr w:type="spellEnd"/>
      <w:r>
        <w:t xml:space="preserve"> 01 Juni 2026.</w:t>
      </w:r>
    </w:p>
  </w:footnote>
  <w:footnote w:id="52">
    <w:p w14:paraId="75979601" w14:textId="77777777" w:rsidR="00367C0A" w:rsidRDefault="00902A3A">
      <w:pPr>
        <w:pStyle w:val="FootnoteText"/>
        <w:ind w:firstLine="709"/>
        <w:jc w:val="both"/>
      </w:pPr>
      <w:r>
        <w:rPr>
          <w:rStyle w:val="FootnoteCharacters"/>
        </w:rPr>
        <w:footnoteRef/>
      </w:r>
      <w:r>
        <w:t xml:space="preserve"> Barda Nawawi Arief, </w:t>
      </w:r>
      <w:r>
        <w:rPr>
          <w:rStyle w:val="Emphasis"/>
        </w:rPr>
        <w:t xml:space="preserve">Sari </w:t>
      </w:r>
      <w:proofErr w:type="spellStart"/>
      <w:r>
        <w:rPr>
          <w:rStyle w:val="Emphasis"/>
        </w:rPr>
        <w:t>Kuliah</w:t>
      </w:r>
      <w:proofErr w:type="spellEnd"/>
      <w:r>
        <w:rPr>
          <w:rStyle w:val="Emphasis"/>
        </w:rPr>
        <w:t xml:space="preserve"> Hukum Pidana II</w:t>
      </w:r>
      <w:r>
        <w:t xml:space="preserve"> (Semarang: </w:t>
      </w:r>
      <w:proofErr w:type="spellStart"/>
      <w:r>
        <w:t>Fakultas</w:t>
      </w:r>
      <w:proofErr w:type="spellEnd"/>
      <w:r>
        <w:t xml:space="preserve"> Hukum Universitas </w:t>
      </w:r>
      <w:proofErr w:type="spellStart"/>
      <w:r>
        <w:t>Diponegoro</w:t>
      </w:r>
      <w:proofErr w:type="spellEnd"/>
      <w:r>
        <w:t xml:space="preserve">, 1984), </w:t>
      </w:r>
      <w:proofErr w:type="spellStart"/>
      <w:r>
        <w:t>hlm</w:t>
      </w:r>
      <w:proofErr w:type="spellEnd"/>
      <w:r>
        <w:t>. 41.</w:t>
      </w:r>
    </w:p>
  </w:footnote>
  <w:footnote w:id="53">
    <w:p w14:paraId="5362A17E" w14:textId="77777777" w:rsidR="00367C0A" w:rsidRDefault="00902A3A">
      <w:pPr>
        <w:pStyle w:val="FootnoteText"/>
        <w:ind w:firstLine="709"/>
        <w:jc w:val="both"/>
      </w:pPr>
      <w:r>
        <w:rPr>
          <w:rStyle w:val="FootnoteCharacters"/>
        </w:rPr>
        <w:footnoteRef/>
      </w:r>
      <w:r>
        <w:t xml:space="preserve"> Eddy O.S. Hiariej, </w:t>
      </w:r>
      <w:proofErr w:type="spellStart"/>
      <w:r>
        <w:rPr>
          <w:rStyle w:val="Emphasis"/>
        </w:rPr>
        <w:t>Prinsip-Prinsip</w:t>
      </w:r>
      <w:proofErr w:type="spellEnd"/>
      <w:r>
        <w:rPr>
          <w:rStyle w:val="Emphasis"/>
        </w:rPr>
        <w:t xml:space="preserve"> Hukum </w:t>
      </w:r>
      <w:proofErr w:type="spellStart"/>
      <w:r>
        <w:rPr>
          <w:rStyle w:val="Emphasis"/>
        </w:rPr>
        <w:t>Pidana</w:t>
      </w:r>
      <w:proofErr w:type="spellEnd"/>
      <w:r>
        <w:t xml:space="preserve"> (Yogyakarta: Cahaya Atma Pustaka, 2016), </w:t>
      </w:r>
      <w:proofErr w:type="spellStart"/>
      <w:r>
        <w:t>hlm</w:t>
      </w:r>
      <w:proofErr w:type="spellEnd"/>
      <w:r>
        <w:t>. 318.</w:t>
      </w:r>
    </w:p>
  </w:footnote>
  <w:footnote w:id="54">
    <w:p w14:paraId="09DA45CE" w14:textId="77777777" w:rsidR="00367C0A" w:rsidRDefault="00902A3A">
      <w:pPr>
        <w:pStyle w:val="FootnoteText"/>
        <w:ind w:firstLine="709"/>
      </w:pPr>
      <w:r>
        <w:rPr>
          <w:rStyle w:val="FootnoteCharacters"/>
        </w:rPr>
        <w:footnoteRef/>
      </w:r>
      <w:r>
        <w:t xml:space="preserve"> Pasal 55 </w:t>
      </w:r>
      <w:proofErr w:type="spellStart"/>
      <w:r>
        <w:t>ayat</w:t>
      </w:r>
      <w:proofErr w:type="spellEnd"/>
      <w:r>
        <w:t xml:space="preserve"> (1), Kitab </w:t>
      </w:r>
      <w:proofErr w:type="spellStart"/>
      <w:r>
        <w:t>Undang-Undang</w:t>
      </w:r>
      <w:proofErr w:type="spellEnd"/>
      <w:r>
        <w:t xml:space="preserve"> Hukum </w:t>
      </w:r>
      <w:proofErr w:type="spellStart"/>
      <w:r>
        <w:t>Pidana</w:t>
      </w:r>
      <w:proofErr w:type="spellEnd"/>
      <w:r>
        <w:t>.</w:t>
      </w:r>
    </w:p>
  </w:footnote>
  <w:footnote w:id="55">
    <w:p w14:paraId="15B499F3" w14:textId="77777777" w:rsidR="00367C0A" w:rsidRDefault="00902A3A">
      <w:pPr>
        <w:pStyle w:val="FootnoteText"/>
        <w:ind w:firstLine="709"/>
      </w:pPr>
      <w:r>
        <w:rPr>
          <w:rStyle w:val="FootnoteCharacters"/>
        </w:rPr>
        <w:footnoteRef/>
      </w:r>
      <w:r>
        <w:t xml:space="preserve"> Utrecht, </w:t>
      </w:r>
      <w:r>
        <w:rPr>
          <w:rStyle w:val="Emphasis"/>
        </w:rPr>
        <w:t xml:space="preserve">Hukum </w:t>
      </w:r>
      <w:proofErr w:type="spellStart"/>
      <w:r>
        <w:rPr>
          <w:rStyle w:val="Emphasis"/>
        </w:rPr>
        <w:t>Pidana</w:t>
      </w:r>
      <w:proofErr w:type="spellEnd"/>
      <w:r>
        <w:rPr>
          <w:rStyle w:val="Emphasis"/>
        </w:rPr>
        <w:t xml:space="preserve"> I</w:t>
      </w:r>
      <w:r>
        <w:t xml:space="preserve"> (Surabaya: Pustaka Tinta Mas, 1986), </w:t>
      </w:r>
      <w:proofErr w:type="spellStart"/>
      <w:r>
        <w:t>hlm</w:t>
      </w:r>
      <w:proofErr w:type="spellEnd"/>
      <w:r>
        <w:t>. 292.</w:t>
      </w:r>
    </w:p>
  </w:footnote>
  <w:footnote w:id="56">
    <w:p w14:paraId="4C82B5E6" w14:textId="77777777" w:rsidR="00367C0A" w:rsidRDefault="00902A3A">
      <w:pPr>
        <w:pStyle w:val="FootnoteText"/>
        <w:ind w:firstLine="709"/>
      </w:pPr>
      <w:r>
        <w:rPr>
          <w:rStyle w:val="FootnoteCharacters"/>
        </w:rPr>
        <w:footnoteRef/>
      </w:r>
      <w:r>
        <w:t xml:space="preserve"> E.Y. Kanter, </w:t>
      </w:r>
      <w:r>
        <w:rPr>
          <w:rStyle w:val="Emphasis"/>
        </w:rPr>
        <w:t xml:space="preserve">Hukum </w:t>
      </w:r>
      <w:proofErr w:type="spellStart"/>
      <w:r>
        <w:rPr>
          <w:rStyle w:val="Emphasis"/>
        </w:rPr>
        <w:t>Pidana</w:t>
      </w:r>
      <w:proofErr w:type="spellEnd"/>
      <w:r>
        <w:rPr>
          <w:rStyle w:val="Emphasis"/>
        </w:rPr>
        <w:t xml:space="preserve"> Umum</w:t>
      </w:r>
      <w:r>
        <w:t xml:space="preserve"> (Jakarta: Alumni AHM-PTHM, 1992), </w:t>
      </w:r>
      <w:proofErr w:type="spellStart"/>
      <w:r>
        <w:t>hlm</w:t>
      </w:r>
      <w:proofErr w:type="spellEnd"/>
      <w:r>
        <w:t>. 245.</w:t>
      </w:r>
    </w:p>
  </w:footnote>
  <w:footnote w:id="57">
    <w:p w14:paraId="4D89225A" w14:textId="77777777" w:rsidR="00367C0A" w:rsidRDefault="00902A3A">
      <w:pPr>
        <w:pStyle w:val="FootnoteText"/>
        <w:ind w:firstLine="709"/>
        <w:jc w:val="both"/>
      </w:pPr>
      <w:r>
        <w:rPr>
          <w:rStyle w:val="FootnoteCharacters"/>
        </w:rPr>
        <w:footnoteRef/>
      </w:r>
      <w:r>
        <w:t xml:space="preserve"> Leden Marpaung, </w:t>
      </w:r>
      <w:proofErr w:type="spellStart"/>
      <w:r>
        <w:rPr>
          <w:rStyle w:val="Emphasis"/>
        </w:rPr>
        <w:t>Tindak</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Harta</w:t>
      </w:r>
      <w:proofErr w:type="spellEnd"/>
      <w:r>
        <w:rPr>
          <w:rStyle w:val="Emphasis"/>
        </w:rPr>
        <w:t xml:space="preserve"> </w:t>
      </w:r>
      <w:proofErr w:type="spellStart"/>
      <w:r>
        <w:rPr>
          <w:rStyle w:val="Emphasis"/>
        </w:rPr>
        <w:t>Kekayaan</w:t>
      </w:r>
      <w:proofErr w:type="spellEnd"/>
      <w:r>
        <w:t xml:space="preserve"> (Jakarta: Sinar </w:t>
      </w:r>
      <w:proofErr w:type="spellStart"/>
      <w:r>
        <w:t>Grafika</w:t>
      </w:r>
      <w:proofErr w:type="spellEnd"/>
      <w:r>
        <w:t xml:space="preserve">, 2009), </w:t>
      </w:r>
      <w:proofErr w:type="spellStart"/>
      <w:r>
        <w:t>hlm</w:t>
      </w:r>
      <w:proofErr w:type="spellEnd"/>
      <w:r>
        <w:t>. 68.</w:t>
      </w:r>
    </w:p>
  </w:footnote>
  <w:footnote w:id="58">
    <w:p w14:paraId="20F7C2D2" w14:textId="77777777" w:rsidR="00367C0A" w:rsidRDefault="00902A3A">
      <w:pPr>
        <w:pStyle w:val="FootnoteText"/>
        <w:ind w:firstLine="709"/>
      </w:pPr>
      <w:r>
        <w:rPr>
          <w:rStyle w:val="FootnoteCharacters"/>
        </w:rPr>
        <w:footnoteRef/>
      </w:r>
      <w:r>
        <w:t xml:space="preserve"> Pasal 480, Kitab </w:t>
      </w:r>
      <w:proofErr w:type="spellStart"/>
      <w:r>
        <w:t>Undang-Undang</w:t>
      </w:r>
      <w:proofErr w:type="spellEnd"/>
      <w:r>
        <w:t xml:space="preserve"> Hukum </w:t>
      </w:r>
      <w:proofErr w:type="spellStart"/>
      <w:r>
        <w:t>Pidana</w:t>
      </w:r>
      <w:proofErr w:type="spellEnd"/>
      <w:r>
        <w:t>.</w:t>
      </w:r>
    </w:p>
  </w:footnote>
  <w:footnote w:id="59">
    <w:p w14:paraId="5BF9A9E2"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w:t>
      </w:r>
      <w:proofErr w:type="spellStart"/>
      <w:r>
        <w:t>Sihar</w:t>
      </w:r>
      <w:proofErr w:type="spellEnd"/>
      <w:r>
        <w:t xml:space="preserve"> M.T. Sihotang, S.H., </w:t>
      </w:r>
      <w:proofErr w:type="spellStart"/>
      <w:r>
        <w:t>Penyidik</w:t>
      </w:r>
      <w:proofErr w:type="spellEnd"/>
      <w:r>
        <w:t xml:space="preserve"> </w:t>
      </w:r>
      <w:proofErr w:type="spellStart"/>
      <w:r>
        <w:t>Polsek</w:t>
      </w:r>
      <w:proofErr w:type="spellEnd"/>
      <w:r>
        <w:t xml:space="preserve"> Stabat, </w:t>
      </w:r>
      <w:proofErr w:type="spellStart"/>
      <w:r>
        <w:t>tanggal</w:t>
      </w:r>
      <w:proofErr w:type="spellEnd"/>
      <w:r>
        <w:t xml:space="preserve"> 01 Juni 2026, </w:t>
      </w:r>
      <w:proofErr w:type="spellStart"/>
      <w:r>
        <w:t>tentang</w:t>
      </w:r>
      <w:proofErr w:type="spellEnd"/>
      <w:r>
        <w:t xml:space="preserve"> </w:t>
      </w:r>
      <w:proofErr w:type="spellStart"/>
      <w:r>
        <w:t>pemetaan</w:t>
      </w:r>
      <w:proofErr w:type="spellEnd"/>
      <w:r>
        <w:t xml:space="preserve"> </w:t>
      </w:r>
      <w:proofErr w:type="spellStart"/>
      <w:r>
        <w:t>peran</w:t>
      </w:r>
      <w:proofErr w:type="spellEnd"/>
      <w:r>
        <w:t xml:space="preserve"> </w:t>
      </w:r>
      <w:proofErr w:type="spellStart"/>
      <w:r>
        <w:t>pelaku</w:t>
      </w:r>
      <w:proofErr w:type="spellEnd"/>
      <w:r>
        <w:t>.</w:t>
      </w:r>
    </w:p>
  </w:footnote>
  <w:footnote w:id="60">
    <w:p w14:paraId="13F73AC4" w14:textId="77777777" w:rsidR="00367C0A" w:rsidRDefault="00902A3A">
      <w:pPr>
        <w:pStyle w:val="FootnoteText"/>
        <w:ind w:firstLine="709"/>
      </w:pPr>
      <w:r>
        <w:rPr>
          <w:rStyle w:val="FootnoteCharacters"/>
        </w:rPr>
        <w:footnoteRef/>
      </w:r>
      <w:r>
        <w:t xml:space="preserve"> Andi Zainal Abidin Farid, </w:t>
      </w:r>
      <w:r>
        <w:rPr>
          <w:rStyle w:val="Emphasis"/>
        </w:rPr>
        <w:t xml:space="preserve">Hukum </w:t>
      </w:r>
      <w:proofErr w:type="spellStart"/>
      <w:r>
        <w:rPr>
          <w:rStyle w:val="Emphasis"/>
        </w:rPr>
        <w:t>Pidana</w:t>
      </w:r>
      <w:proofErr w:type="spellEnd"/>
      <w:r>
        <w:rPr>
          <w:rStyle w:val="Emphasis"/>
        </w:rPr>
        <w:t xml:space="preserve"> I</w:t>
      </w:r>
      <w:r>
        <w:t xml:space="preserve"> (Jakarta: Sinar </w:t>
      </w:r>
      <w:proofErr w:type="spellStart"/>
      <w:r>
        <w:t>Grafika</w:t>
      </w:r>
      <w:proofErr w:type="spellEnd"/>
      <w:r>
        <w:t xml:space="preserve">, 2007), </w:t>
      </w:r>
      <w:proofErr w:type="spellStart"/>
      <w:r>
        <w:t>hlm</w:t>
      </w:r>
      <w:proofErr w:type="spellEnd"/>
      <w:r>
        <w:t>. 221.</w:t>
      </w:r>
    </w:p>
  </w:footnote>
  <w:footnote w:id="61">
    <w:p w14:paraId="0E9627C1" w14:textId="77777777" w:rsidR="00367C0A" w:rsidRDefault="00902A3A">
      <w:pPr>
        <w:pStyle w:val="FootnoteText"/>
        <w:ind w:firstLine="709"/>
        <w:jc w:val="both"/>
      </w:pPr>
      <w:r>
        <w:rPr>
          <w:rStyle w:val="FootnoteCharacters"/>
        </w:rPr>
        <w:footnoteRef/>
      </w:r>
      <w:r>
        <w:t xml:space="preserve"> Pasal 1 </w:t>
      </w:r>
      <w:proofErr w:type="spellStart"/>
      <w:r>
        <w:t>angka</w:t>
      </w:r>
      <w:proofErr w:type="spellEnd"/>
      <w:r>
        <w:t xml:space="preserve"> 27,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62">
    <w:p w14:paraId="317FD395" w14:textId="77777777" w:rsidR="00367C0A" w:rsidRDefault="00902A3A">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2016), </w:t>
      </w:r>
      <w:proofErr w:type="spellStart"/>
      <w:r>
        <w:t>hlm</w:t>
      </w:r>
      <w:proofErr w:type="spellEnd"/>
      <w:r>
        <w:t>. 134.</w:t>
      </w:r>
    </w:p>
  </w:footnote>
  <w:footnote w:id="63">
    <w:p w14:paraId="0FE4C503" w14:textId="77777777" w:rsidR="00367C0A" w:rsidRDefault="00902A3A">
      <w:pPr>
        <w:pStyle w:val="FootnoteText"/>
        <w:ind w:firstLine="709"/>
        <w:jc w:val="both"/>
      </w:pPr>
      <w:r>
        <w:rPr>
          <w:rStyle w:val="FootnoteCharacters"/>
        </w:rPr>
        <w:footnoteRef/>
      </w:r>
      <w:r>
        <w:t xml:space="preserve"> Pasal 189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64">
    <w:p w14:paraId="5666BB50"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AIPTU </w:t>
      </w:r>
      <w:proofErr w:type="spellStart"/>
      <w:r>
        <w:t>Suseno</w:t>
      </w:r>
      <w:proofErr w:type="spellEnd"/>
      <w:r>
        <w:t xml:space="preserve">, </w:t>
      </w:r>
      <w:proofErr w:type="spellStart"/>
      <w:r>
        <w:t>Penyidik</w:t>
      </w:r>
      <w:proofErr w:type="spellEnd"/>
      <w:r>
        <w:t xml:space="preserve"> </w:t>
      </w:r>
      <w:proofErr w:type="spellStart"/>
      <w:r>
        <w:t>Pembantu</w:t>
      </w:r>
      <w:proofErr w:type="spellEnd"/>
      <w:r>
        <w:t xml:space="preserve"> Polsek Stabat, </w:t>
      </w:r>
      <w:proofErr w:type="spellStart"/>
      <w:r>
        <w:t>tanggal</w:t>
      </w:r>
      <w:proofErr w:type="spellEnd"/>
      <w:r>
        <w:t xml:space="preserve"> 01 Juni 2026, </w:t>
      </w:r>
      <w:proofErr w:type="spellStart"/>
      <w:r>
        <w:t>tentang</w:t>
      </w:r>
      <w:proofErr w:type="spellEnd"/>
      <w:r>
        <w:t xml:space="preserve"> </w:t>
      </w:r>
      <w:proofErr w:type="spellStart"/>
      <w:r>
        <w:t>perbedaan</w:t>
      </w:r>
      <w:proofErr w:type="spellEnd"/>
      <w:r>
        <w:t xml:space="preserve"> </w:t>
      </w:r>
      <w:proofErr w:type="spellStart"/>
      <w:r>
        <w:t>keterangan</w:t>
      </w:r>
      <w:proofErr w:type="spellEnd"/>
      <w:r>
        <w:t xml:space="preserve"> </w:t>
      </w:r>
      <w:proofErr w:type="spellStart"/>
      <w:r>
        <w:t>pelaku</w:t>
      </w:r>
      <w:proofErr w:type="spellEnd"/>
      <w:r>
        <w:t>.</w:t>
      </w:r>
    </w:p>
  </w:footnote>
  <w:footnote w:id="65">
    <w:p w14:paraId="3E2CC0E2" w14:textId="77777777" w:rsidR="00367C0A" w:rsidRDefault="00902A3A">
      <w:pPr>
        <w:pStyle w:val="FootnoteText"/>
        <w:ind w:firstLine="709"/>
        <w:jc w:val="both"/>
      </w:pPr>
      <w:r>
        <w:rPr>
          <w:rStyle w:val="FootnoteCharacters"/>
        </w:rPr>
        <w:footnoteRef/>
      </w:r>
      <w:r>
        <w:t xml:space="preserve"> Hari Sasangka dan Lily Rosita, </w:t>
      </w:r>
      <w:r>
        <w:rPr>
          <w:rStyle w:val="Emphasis"/>
        </w:rPr>
        <w:t xml:space="preserve">Hukum </w:t>
      </w:r>
      <w:proofErr w:type="spellStart"/>
      <w:r>
        <w:rPr>
          <w:rStyle w:val="Emphasis"/>
        </w:rPr>
        <w:t>Pembuktian</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Perkara</w:t>
      </w:r>
      <w:proofErr w:type="spellEnd"/>
      <w:r>
        <w:rPr>
          <w:rStyle w:val="Emphasis"/>
        </w:rPr>
        <w:t xml:space="preserve"> </w:t>
      </w:r>
      <w:proofErr w:type="spellStart"/>
      <w:r>
        <w:rPr>
          <w:rStyle w:val="Emphasis"/>
        </w:rPr>
        <w:t>Pidana</w:t>
      </w:r>
      <w:proofErr w:type="spellEnd"/>
      <w:r>
        <w:t xml:space="preserve"> (Bandung: Mandar Maju, 2003), </w:t>
      </w:r>
      <w:proofErr w:type="spellStart"/>
      <w:r>
        <w:t>hlm</w:t>
      </w:r>
      <w:proofErr w:type="spellEnd"/>
      <w:r>
        <w:t>. 99.</w:t>
      </w:r>
    </w:p>
  </w:footnote>
  <w:footnote w:id="66">
    <w:p w14:paraId="55F06941" w14:textId="77777777" w:rsidR="00367C0A" w:rsidRDefault="00902A3A">
      <w:pPr>
        <w:pStyle w:val="FootnoteText"/>
        <w:ind w:firstLine="709"/>
        <w:jc w:val="both"/>
      </w:pPr>
      <w:r>
        <w:rPr>
          <w:rStyle w:val="FootnoteCharacters"/>
        </w:rPr>
        <w:footnoteRef/>
      </w:r>
      <w:r>
        <w:t xml:space="preserve"> Andi Hamzah, </w:t>
      </w:r>
      <w:r>
        <w:rPr>
          <w:rStyle w:val="Emphasis"/>
        </w:rPr>
        <w:t xml:space="preserve">Hukum Acara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xml:space="preserve">, 2017), </w:t>
      </w:r>
      <w:proofErr w:type="spellStart"/>
      <w:r>
        <w:t>hlm</w:t>
      </w:r>
      <w:proofErr w:type="spellEnd"/>
      <w:r>
        <w:t>. 254.</w:t>
      </w:r>
    </w:p>
  </w:footnote>
  <w:footnote w:id="67">
    <w:p w14:paraId="0302C393" w14:textId="77777777" w:rsidR="00367C0A" w:rsidRDefault="00902A3A">
      <w:pPr>
        <w:pStyle w:val="FootnoteText"/>
        <w:ind w:firstLine="709"/>
        <w:jc w:val="both"/>
      </w:pPr>
      <w:r>
        <w:rPr>
          <w:rStyle w:val="FootnoteCharacters"/>
        </w:rPr>
        <w:footnoteRef/>
      </w:r>
      <w:r>
        <w:t xml:space="preserve"> Rusli Muhammad, </w:t>
      </w:r>
      <w:r>
        <w:rPr>
          <w:rStyle w:val="Emphasis"/>
        </w:rPr>
        <w:t xml:space="preserve">Hukum Acara </w:t>
      </w:r>
      <w:proofErr w:type="spellStart"/>
      <w:r>
        <w:rPr>
          <w:rStyle w:val="Emphasis"/>
        </w:rPr>
        <w:t>Pidana</w:t>
      </w:r>
      <w:proofErr w:type="spellEnd"/>
      <w:r>
        <w:rPr>
          <w:rStyle w:val="Emphasis"/>
        </w:rPr>
        <w:t xml:space="preserve"> </w:t>
      </w:r>
      <w:proofErr w:type="spellStart"/>
      <w:r>
        <w:rPr>
          <w:rStyle w:val="Emphasis"/>
        </w:rPr>
        <w:t>Kontemporer</w:t>
      </w:r>
      <w:proofErr w:type="spellEnd"/>
      <w:r>
        <w:t xml:space="preserve"> (Bandung: Citra Aditya Bakti, 2007), </w:t>
      </w:r>
      <w:proofErr w:type="spellStart"/>
      <w:r>
        <w:t>hlm</w:t>
      </w:r>
      <w:proofErr w:type="spellEnd"/>
      <w:r>
        <w:t>. 58.</w:t>
      </w:r>
    </w:p>
  </w:footnote>
  <w:footnote w:id="68">
    <w:p w14:paraId="1C159387" w14:textId="77777777" w:rsidR="00367C0A" w:rsidRDefault="00902A3A">
      <w:pPr>
        <w:pStyle w:val="FootnoteText"/>
        <w:ind w:firstLine="709"/>
        <w:jc w:val="both"/>
      </w:pPr>
      <w:r>
        <w:rPr>
          <w:rStyle w:val="FootnoteCharacters"/>
        </w:rPr>
        <w:footnoteRef/>
      </w:r>
      <w:r>
        <w:t xml:space="preserve"> </w:t>
      </w:r>
      <w:proofErr w:type="spellStart"/>
      <w:r>
        <w:t>Satochid</w:t>
      </w:r>
      <w:proofErr w:type="spellEnd"/>
      <w:r>
        <w:t xml:space="preserve"> Kartanegara, </w:t>
      </w:r>
      <w:r>
        <w:rPr>
          <w:rStyle w:val="Emphasis"/>
        </w:rPr>
        <w:t xml:space="preserve">Hukum </w:t>
      </w:r>
      <w:proofErr w:type="spellStart"/>
      <w:r>
        <w:rPr>
          <w:rStyle w:val="Emphasis"/>
        </w:rPr>
        <w:t>Pidana</w:t>
      </w:r>
      <w:proofErr w:type="spellEnd"/>
      <w:r>
        <w:rPr>
          <w:rStyle w:val="Emphasis"/>
        </w:rPr>
        <w:t xml:space="preserve"> Kumpulan Kuliah Bagian Satu</w:t>
      </w:r>
      <w:r>
        <w:t xml:space="preserve"> (Jakarta: Balai </w:t>
      </w:r>
      <w:proofErr w:type="spellStart"/>
      <w:r>
        <w:t>Lektur</w:t>
      </w:r>
      <w:proofErr w:type="spellEnd"/>
      <w:r>
        <w:t xml:space="preserve"> </w:t>
      </w:r>
      <w:proofErr w:type="spellStart"/>
      <w:r>
        <w:t>Mahasiswa</w:t>
      </w:r>
      <w:proofErr w:type="spellEnd"/>
      <w:r>
        <w:t xml:space="preserve">, 2006), </w:t>
      </w:r>
      <w:proofErr w:type="spellStart"/>
      <w:r>
        <w:t>hlm</w:t>
      </w:r>
      <w:proofErr w:type="spellEnd"/>
      <w:r>
        <w:t>. 231.</w:t>
      </w:r>
    </w:p>
  </w:footnote>
  <w:footnote w:id="69">
    <w:p w14:paraId="02C97392" w14:textId="77777777" w:rsidR="00367C0A" w:rsidRDefault="00902A3A">
      <w:pPr>
        <w:pStyle w:val="FootnoteText"/>
        <w:ind w:firstLine="709"/>
        <w:jc w:val="both"/>
      </w:pPr>
      <w:r>
        <w:rPr>
          <w:rStyle w:val="FootnoteCharacters"/>
        </w:rPr>
        <w:footnoteRef/>
      </w:r>
      <w:r>
        <w:t xml:space="preserve"> R. </w:t>
      </w:r>
      <w:proofErr w:type="spellStart"/>
      <w:r>
        <w:t>Soesilo</w:t>
      </w:r>
      <w:proofErr w:type="spellEnd"/>
      <w:r>
        <w:t xml:space="preserve">, </w:t>
      </w:r>
      <w:proofErr w:type="spellStart"/>
      <w:r>
        <w:rPr>
          <w:rStyle w:val="Emphasis"/>
        </w:rPr>
        <w:t>Pokok-Pokok</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Peraturan</w:t>
      </w:r>
      <w:proofErr w:type="spellEnd"/>
      <w:r>
        <w:rPr>
          <w:rStyle w:val="Emphasis"/>
        </w:rPr>
        <w:t xml:space="preserve"> Umum dan </w:t>
      </w:r>
      <w:proofErr w:type="spellStart"/>
      <w:r>
        <w:rPr>
          <w:rStyle w:val="Emphasis"/>
        </w:rPr>
        <w:t>Delik-Delik</w:t>
      </w:r>
      <w:proofErr w:type="spellEnd"/>
      <w:r>
        <w:rPr>
          <w:rStyle w:val="Emphasis"/>
        </w:rPr>
        <w:t xml:space="preserve"> Khusus</w:t>
      </w:r>
      <w:r>
        <w:t xml:space="preserve"> (Bogor: Politeia, 1991), </w:t>
      </w:r>
      <w:proofErr w:type="spellStart"/>
      <w:r>
        <w:t>hlm</w:t>
      </w:r>
      <w:proofErr w:type="spellEnd"/>
      <w:r>
        <w:t>. 112.</w:t>
      </w:r>
    </w:p>
  </w:footnote>
  <w:footnote w:id="70">
    <w:p w14:paraId="05636423" w14:textId="77777777" w:rsidR="00367C0A" w:rsidRDefault="00902A3A">
      <w:pPr>
        <w:pStyle w:val="FootnoteText"/>
        <w:ind w:firstLine="742"/>
      </w:pPr>
      <w:r>
        <w:rPr>
          <w:rStyle w:val="FootnoteCharacters"/>
        </w:rPr>
        <w:footnoteRef/>
      </w:r>
      <w:r>
        <w:t xml:space="preserve"> </w:t>
      </w:r>
      <w:proofErr w:type="spellStart"/>
      <w:r>
        <w:t>Teguh</w:t>
      </w:r>
      <w:proofErr w:type="spellEnd"/>
      <w:r>
        <w:t xml:space="preserve"> </w:t>
      </w:r>
      <w:proofErr w:type="spellStart"/>
      <w:r>
        <w:t>Prasetyo</w:t>
      </w:r>
      <w:proofErr w:type="spellEnd"/>
      <w:r>
        <w:t xml:space="preserve">, </w:t>
      </w:r>
      <w:r>
        <w:rPr>
          <w:rStyle w:val="Emphasis"/>
        </w:rPr>
        <w:t xml:space="preserve">Hukum </w:t>
      </w:r>
      <w:proofErr w:type="spellStart"/>
      <w:r>
        <w:rPr>
          <w:rStyle w:val="Emphasis"/>
        </w:rPr>
        <w:t>Pidana</w:t>
      </w:r>
      <w:proofErr w:type="spellEnd"/>
      <w:r>
        <w:t xml:space="preserve"> (Jakarta: </w:t>
      </w:r>
      <w:proofErr w:type="spellStart"/>
      <w:r>
        <w:t>Rajawali</w:t>
      </w:r>
      <w:proofErr w:type="spellEnd"/>
      <w:r>
        <w:t xml:space="preserve"> Pers, 2017), </w:t>
      </w:r>
      <w:proofErr w:type="spellStart"/>
      <w:r>
        <w:t>hlm</w:t>
      </w:r>
      <w:proofErr w:type="spellEnd"/>
      <w:r>
        <w:t>. 214.</w:t>
      </w:r>
    </w:p>
  </w:footnote>
  <w:footnote w:id="71">
    <w:p w14:paraId="510539C1" w14:textId="77777777" w:rsidR="00367C0A" w:rsidRDefault="00902A3A">
      <w:pPr>
        <w:pStyle w:val="FootnoteText"/>
        <w:ind w:firstLine="709"/>
        <w:jc w:val="both"/>
      </w:pPr>
      <w:r>
        <w:rPr>
          <w:rStyle w:val="FootnoteCharacters"/>
        </w:rPr>
        <w:footnoteRef/>
      </w:r>
      <w:r>
        <w:t xml:space="preserve"> S.R. </w:t>
      </w:r>
      <w:proofErr w:type="spellStart"/>
      <w:r>
        <w:t>Sianturi</w:t>
      </w:r>
      <w:proofErr w:type="spellEnd"/>
      <w:r>
        <w:t xml:space="preserve">, </w:t>
      </w:r>
      <w:proofErr w:type="spellStart"/>
      <w:r>
        <w:rPr>
          <w:rStyle w:val="Emphasis"/>
        </w:rPr>
        <w:t>Tindak</w:t>
      </w:r>
      <w:proofErr w:type="spellEnd"/>
      <w:r>
        <w:rPr>
          <w:rStyle w:val="Emphasis"/>
        </w:rPr>
        <w:t xml:space="preserve"> </w:t>
      </w:r>
      <w:proofErr w:type="spellStart"/>
      <w:r>
        <w:rPr>
          <w:rStyle w:val="Emphasis"/>
        </w:rPr>
        <w:t>Pidana</w:t>
      </w:r>
      <w:proofErr w:type="spellEnd"/>
      <w:r>
        <w:rPr>
          <w:rStyle w:val="Emphasis"/>
        </w:rPr>
        <w:t xml:space="preserve"> di KUHP </w:t>
      </w:r>
      <w:proofErr w:type="spellStart"/>
      <w:r>
        <w:rPr>
          <w:rStyle w:val="Emphasis"/>
        </w:rPr>
        <w:t>Berikut</w:t>
      </w:r>
      <w:proofErr w:type="spellEnd"/>
      <w:r>
        <w:rPr>
          <w:rStyle w:val="Emphasis"/>
        </w:rPr>
        <w:t xml:space="preserve"> </w:t>
      </w:r>
      <w:proofErr w:type="spellStart"/>
      <w:r>
        <w:rPr>
          <w:rStyle w:val="Emphasis"/>
        </w:rPr>
        <w:t>Uraiannya</w:t>
      </w:r>
      <w:proofErr w:type="spellEnd"/>
      <w:r>
        <w:t xml:space="preserve"> (Jakarta: Alumni AHM-PTHM, 1983), </w:t>
      </w:r>
      <w:proofErr w:type="spellStart"/>
      <w:r>
        <w:t>hlm</w:t>
      </w:r>
      <w:proofErr w:type="spellEnd"/>
      <w:r>
        <w:t>. 594.</w:t>
      </w:r>
    </w:p>
  </w:footnote>
  <w:footnote w:id="72">
    <w:p w14:paraId="508583EF" w14:textId="77777777" w:rsidR="00367C0A" w:rsidRDefault="00902A3A">
      <w:pPr>
        <w:pStyle w:val="FootnoteText"/>
        <w:ind w:firstLine="709"/>
        <w:jc w:val="both"/>
      </w:pPr>
      <w:r>
        <w:rPr>
          <w:rStyle w:val="FootnoteCharacters"/>
        </w:rPr>
        <w:footnoteRef/>
      </w:r>
      <w:r>
        <w:t xml:space="preserve"> Pasal 481,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73">
    <w:p w14:paraId="2D2348C8" w14:textId="77777777" w:rsidR="00367C0A" w:rsidRDefault="00902A3A">
      <w:pPr>
        <w:pStyle w:val="FootnoteText"/>
        <w:ind w:firstLine="709"/>
      </w:pPr>
      <w:r>
        <w:rPr>
          <w:rStyle w:val="FootnoteCharacters"/>
        </w:rPr>
        <w:footnoteRef/>
      </w:r>
      <w:r>
        <w:t xml:space="preserve"> </w:t>
      </w:r>
      <w:proofErr w:type="spellStart"/>
      <w:r>
        <w:t>Tongat</w:t>
      </w:r>
      <w:proofErr w:type="spellEnd"/>
      <w:r>
        <w:t xml:space="preserve">, </w:t>
      </w:r>
      <w:r>
        <w:rPr>
          <w:rStyle w:val="Emphasis"/>
        </w:rPr>
        <w:t xml:space="preserve">Hukum </w:t>
      </w:r>
      <w:proofErr w:type="spellStart"/>
      <w:r>
        <w:rPr>
          <w:rStyle w:val="Emphasis"/>
        </w:rPr>
        <w:t>Pidana</w:t>
      </w:r>
      <w:proofErr w:type="spellEnd"/>
      <w:r>
        <w:rPr>
          <w:rStyle w:val="Emphasis"/>
        </w:rPr>
        <w:t xml:space="preserve"> </w:t>
      </w:r>
      <w:proofErr w:type="spellStart"/>
      <w:r>
        <w:rPr>
          <w:rStyle w:val="Emphasis"/>
        </w:rPr>
        <w:t>Materiil</w:t>
      </w:r>
      <w:proofErr w:type="spellEnd"/>
      <w:r>
        <w:t xml:space="preserve"> (Malang: UMM Press, 2015), </w:t>
      </w:r>
      <w:proofErr w:type="spellStart"/>
      <w:r>
        <w:t>hlm</w:t>
      </w:r>
      <w:proofErr w:type="spellEnd"/>
      <w:r>
        <w:t>. 45.</w:t>
      </w:r>
    </w:p>
  </w:footnote>
  <w:footnote w:id="74">
    <w:p w14:paraId="3DABFC25"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w:t>
      </w:r>
      <w:proofErr w:type="spellStart"/>
      <w:r>
        <w:t>Sihar</w:t>
      </w:r>
      <w:proofErr w:type="spellEnd"/>
      <w:r>
        <w:t xml:space="preserve"> M.T. Sihotang, S.H., </w:t>
      </w:r>
      <w:proofErr w:type="spellStart"/>
      <w:r>
        <w:t>Penyidik</w:t>
      </w:r>
      <w:proofErr w:type="spellEnd"/>
      <w:r>
        <w:t xml:space="preserve"> </w:t>
      </w:r>
      <w:proofErr w:type="spellStart"/>
      <w:r>
        <w:t>Polsek</w:t>
      </w:r>
      <w:proofErr w:type="spellEnd"/>
      <w:r>
        <w:t xml:space="preserve"> Stabat, </w:t>
      </w:r>
      <w:proofErr w:type="spellStart"/>
      <w:r>
        <w:t>tanggal</w:t>
      </w:r>
      <w:proofErr w:type="spellEnd"/>
      <w:r>
        <w:t xml:space="preserve"> 01 Juni 2026, </w:t>
      </w:r>
      <w:proofErr w:type="spellStart"/>
      <w:r>
        <w:t>tentang</w:t>
      </w:r>
      <w:proofErr w:type="spellEnd"/>
      <w:r>
        <w:t xml:space="preserve"> </w:t>
      </w:r>
      <w:proofErr w:type="spellStart"/>
      <w:r>
        <w:t>posisi</w:t>
      </w:r>
      <w:proofErr w:type="spellEnd"/>
      <w:r>
        <w:t xml:space="preserve"> </w:t>
      </w:r>
      <w:proofErr w:type="spellStart"/>
      <w:r>
        <w:t>pelaku</w:t>
      </w:r>
      <w:proofErr w:type="spellEnd"/>
      <w:r>
        <w:t xml:space="preserve"> </w:t>
      </w:r>
      <w:proofErr w:type="spellStart"/>
      <w:r>
        <w:t>saat</w:t>
      </w:r>
      <w:proofErr w:type="spellEnd"/>
      <w:r>
        <w:t xml:space="preserve"> </w:t>
      </w:r>
      <w:proofErr w:type="spellStart"/>
      <w:r>
        <w:t>kejadian</w:t>
      </w:r>
      <w:proofErr w:type="spellEnd"/>
      <w:r>
        <w:t>.</w:t>
      </w:r>
    </w:p>
  </w:footnote>
  <w:footnote w:id="75">
    <w:p w14:paraId="09F4E8F8" w14:textId="77777777" w:rsidR="00367C0A" w:rsidRDefault="00902A3A">
      <w:pPr>
        <w:pStyle w:val="FootnoteText"/>
        <w:ind w:firstLine="709"/>
      </w:pPr>
      <w:r>
        <w:rPr>
          <w:rStyle w:val="FootnoteCharacters"/>
        </w:rPr>
        <w:footnoteRef/>
      </w:r>
      <w:r>
        <w:t xml:space="preserve"> Pasal 75,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76">
    <w:p w14:paraId="139A1730" w14:textId="77777777" w:rsidR="00367C0A" w:rsidRDefault="00902A3A">
      <w:pPr>
        <w:pStyle w:val="FootnoteText"/>
        <w:ind w:firstLine="709"/>
        <w:jc w:val="both"/>
      </w:pPr>
      <w:r>
        <w:rPr>
          <w:rStyle w:val="FootnoteCharacters"/>
        </w:rPr>
        <w:footnoteRef/>
      </w:r>
      <w:r>
        <w:t xml:space="preserve"> R. </w:t>
      </w:r>
      <w:proofErr w:type="spellStart"/>
      <w:r>
        <w:t>Atang</w:t>
      </w:r>
      <w:proofErr w:type="spellEnd"/>
      <w:r>
        <w:t xml:space="preserve"> Ranoemihardja, </w:t>
      </w:r>
      <w:r>
        <w:rPr>
          <w:rStyle w:val="Emphasis"/>
        </w:rPr>
        <w:t xml:space="preserve">Hukum Acara </w:t>
      </w:r>
      <w:proofErr w:type="spellStart"/>
      <w:r>
        <w:rPr>
          <w:rStyle w:val="Emphasis"/>
        </w:rPr>
        <w:t>Pidana</w:t>
      </w:r>
      <w:proofErr w:type="spellEnd"/>
      <w:r>
        <w:t xml:space="preserve"> (Bandung: </w:t>
      </w:r>
      <w:proofErr w:type="spellStart"/>
      <w:r>
        <w:t>Tarsito</w:t>
      </w:r>
      <w:proofErr w:type="spellEnd"/>
      <w:r>
        <w:t xml:space="preserve">, 1983), </w:t>
      </w:r>
      <w:proofErr w:type="spellStart"/>
      <w:r>
        <w:t>hlm</w:t>
      </w:r>
      <w:proofErr w:type="spellEnd"/>
      <w:r>
        <w:t>. 45.</w:t>
      </w:r>
    </w:p>
  </w:footnote>
  <w:footnote w:id="77">
    <w:p w14:paraId="19783C8B" w14:textId="77777777" w:rsidR="00367C0A" w:rsidRDefault="00902A3A">
      <w:pPr>
        <w:pStyle w:val="FootnoteText"/>
        <w:ind w:firstLine="709"/>
        <w:jc w:val="both"/>
      </w:pPr>
      <w:r>
        <w:rPr>
          <w:rStyle w:val="FootnoteCharacters"/>
        </w:rPr>
        <w:footnoteRef/>
      </w:r>
      <w:r>
        <w:t xml:space="preserve"> Muladi dan Barda Nawawi Arief, </w:t>
      </w:r>
      <w:r>
        <w:rPr>
          <w:rStyle w:val="Emphasis"/>
        </w:rPr>
        <w:t xml:space="preserve">Teori-Teori dan </w:t>
      </w:r>
      <w:proofErr w:type="spellStart"/>
      <w:r>
        <w:rPr>
          <w:rStyle w:val="Emphasis"/>
        </w:rPr>
        <w:t>Kebijakan</w:t>
      </w:r>
      <w:proofErr w:type="spellEnd"/>
      <w:r>
        <w:rPr>
          <w:rStyle w:val="Emphasis"/>
        </w:rPr>
        <w:t xml:space="preserve"> </w:t>
      </w:r>
      <w:proofErr w:type="spellStart"/>
      <w:r>
        <w:rPr>
          <w:rStyle w:val="Emphasis"/>
        </w:rPr>
        <w:t>Pidana</w:t>
      </w:r>
      <w:proofErr w:type="spellEnd"/>
      <w:r>
        <w:t xml:space="preserve"> (Bandung: Alumni, 2010), </w:t>
      </w:r>
      <w:proofErr w:type="spellStart"/>
      <w:r>
        <w:t>hlm</w:t>
      </w:r>
      <w:proofErr w:type="spellEnd"/>
      <w:r>
        <w:t>. 52</w:t>
      </w:r>
    </w:p>
  </w:footnote>
  <w:footnote w:id="78">
    <w:p w14:paraId="34B76B80" w14:textId="77777777" w:rsidR="00367C0A" w:rsidRDefault="00902A3A">
      <w:pPr>
        <w:pStyle w:val="FootnoteText"/>
        <w:ind w:firstLine="709"/>
        <w:jc w:val="both"/>
      </w:pPr>
      <w:r>
        <w:rPr>
          <w:rStyle w:val="FootnoteCharacters"/>
        </w:rPr>
        <w:footnoteRef/>
      </w:r>
      <w:r>
        <w:t xml:space="preserve"> Jan Remmelink, </w:t>
      </w:r>
      <w:proofErr w:type="spellStart"/>
      <w:r>
        <w:rPr>
          <w:rStyle w:val="Emphasis"/>
        </w:rPr>
        <w:t>Pengantar</w:t>
      </w:r>
      <w:proofErr w:type="spellEnd"/>
      <w:r>
        <w:rPr>
          <w:rStyle w:val="Emphasis"/>
        </w:rPr>
        <w:t xml:space="preserve"> Hukum </w:t>
      </w:r>
      <w:proofErr w:type="spellStart"/>
      <w:r>
        <w:rPr>
          <w:rStyle w:val="Emphasis"/>
        </w:rPr>
        <w:t>Pidana</w:t>
      </w:r>
      <w:proofErr w:type="spellEnd"/>
      <w:r>
        <w:rPr>
          <w:rStyle w:val="Emphasis"/>
        </w:rPr>
        <w:t xml:space="preserve"> Material 1</w:t>
      </w:r>
      <w:r>
        <w:t xml:space="preserve"> (Yogyakarta: </w:t>
      </w:r>
      <w:proofErr w:type="spellStart"/>
      <w:r>
        <w:t>Maharsa</w:t>
      </w:r>
      <w:proofErr w:type="spellEnd"/>
      <w:r>
        <w:t xml:space="preserve">, 2014), </w:t>
      </w:r>
      <w:proofErr w:type="spellStart"/>
      <w:r>
        <w:t>hlm</w:t>
      </w:r>
      <w:proofErr w:type="spellEnd"/>
      <w:r>
        <w:t>. 171.</w:t>
      </w:r>
    </w:p>
  </w:footnote>
  <w:footnote w:id="79">
    <w:p w14:paraId="7BA3E084" w14:textId="77777777" w:rsidR="00367C0A" w:rsidRDefault="00902A3A">
      <w:pPr>
        <w:pStyle w:val="FootnoteText"/>
        <w:ind w:firstLine="709"/>
      </w:pPr>
      <w:r>
        <w:rPr>
          <w:rStyle w:val="FootnoteCharacters"/>
        </w:rPr>
        <w:footnoteRef/>
      </w:r>
      <w:r>
        <w:t xml:space="preserve"> Pasal 56, Kitab </w:t>
      </w:r>
      <w:proofErr w:type="spellStart"/>
      <w:r>
        <w:t>Undang-Undang</w:t>
      </w:r>
      <w:proofErr w:type="spellEnd"/>
      <w:r>
        <w:t xml:space="preserve"> Hukum </w:t>
      </w:r>
      <w:proofErr w:type="spellStart"/>
      <w:r>
        <w:t>Pidana</w:t>
      </w:r>
      <w:proofErr w:type="spellEnd"/>
      <w:r>
        <w:t>.</w:t>
      </w:r>
    </w:p>
  </w:footnote>
  <w:footnote w:id="80">
    <w:p w14:paraId="58E9320B" w14:textId="77777777" w:rsidR="00367C0A" w:rsidRDefault="00902A3A">
      <w:pPr>
        <w:pStyle w:val="FootnoteText"/>
        <w:ind w:firstLine="709"/>
      </w:pPr>
      <w:r>
        <w:rPr>
          <w:rStyle w:val="FootnoteCharacters"/>
        </w:rPr>
        <w:footnoteRef/>
      </w:r>
      <w:r>
        <w:t xml:space="preserve"> </w:t>
      </w:r>
      <w:proofErr w:type="spellStart"/>
      <w:r>
        <w:t>Sudarto</w:t>
      </w:r>
      <w:proofErr w:type="spellEnd"/>
      <w:r>
        <w:t xml:space="preserve">, </w:t>
      </w:r>
      <w:r>
        <w:rPr>
          <w:rStyle w:val="Emphasis"/>
        </w:rPr>
        <w:t xml:space="preserve">Hukum </w:t>
      </w:r>
      <w:proofErr w:type="spellStart"/>
      <w:r>
        <w:rPr>
          <w:rStyle w:val="Emphasis"/>
        </w:rPr>
        <w:t>Pidana</w:t>
      </w:r>
      <w:proofErr w:type="spellEnd"/>
      <w:r>
        <w:rPr>
          <w:rStyle w:val="Emphasis"/>
        </w:rPr>
        <w:t xml:space="preserve"> I</w:t>
      </w:r>
      <w:r>
        <w:t xml:space="preserve"> (Semarang: Yayasan </w:t>
      </w:r>
      <w:proofErr w:type="spellStart"/>
      <w:r>
        <w:t>Sudarto</w:t>
      </w:r>
      <w:proofErr w:type="spellEnd"/>
      <w:r>
        <w:t xml:space="preserve">, 2009), </w:t>
      </w:r>
      <w:proofErr w:type="spellStart"/>
      <w:r>
        <w:t>hlm</w:t>
      </w:r>
      <w:proofErr w:type="spellEnd"/>
      <w:r>
        <w:t>. 87.</w:t>
      </w:r>
    </w:p>
  </w:footnote>
  <w:footnote w:id="81">
    <w:p w14:paraId="0531C736" w14:textId="77777777" w:rsidR="00367C0A" w:rsidRDefault="00902A3A">
      <w:pPr>
        <w:pStyle w:val="FootnoteText"/>
        <w:ind w:firstLine="709"/>
        <w:jc w:val="both"/>
      </w:pPr>
      <w:r>
        <w:rPr>
          <w:rStyle w:val="FootnoteCharacters"/>
        </w:rPr>
        <w:footnoteRef/>
      </w:r>
      <w:r>
        <w:t xml:space="preserve"> </w:t>
      </w:r>
      <w:proofErr w:type="spellStart"/>
      <w:r>
        <w:t>Wirjono</w:t>
      </w:r>
      <w:proofErr w:type="spellEnd"/>
      <w:r>
        <w:t xml:space="preserve"> </w:t>
      </w:r>
      <w:proofErr w:type="spellStart"/>
      <w:r>
        <w:t>Prodjodikoro</w:t>
      </w:r>
      <w:proofErr w:type="spellEnd"/>
      <w:r>
        <w:t xml:space="preserve">, </w:t>
      </w:r>
      <w:r>
        <w:rPr>
          <w:rStyle w:val="Emphasis"/>
        </w:rPr>
        <w:t xml:space="preserve">Asas-Asas Hukum </w:t>
      </w:r>
      <w:proofErr w:type="spellStart"/>
      <w:r>
        <w:rPr>
          <w:rStyle w:val="Emphasis"/>
        </w:rPr>
        <w:t>Pidana</w:t>
      </w:r>
      <w:proofErr w:type="spellEnd"/>
      <w:r>
        <w:rPr>
          <w:rStyle w:val="Emphasis"/>
        </w:rPr>
        <w:t xml:space="preserve"> di Indonesia</w:t>
      </w:r>
      <w:r>
        <w:t xml:space="preserve"> (Bandung: Refika </w:t>
      </w:r>
      <w:proofErr w:type="spellStart"/>
      <w:r>
        <w:t>Aditama</w:t>
      </w:r>
      <w:proofErr w:type="spellEnd"/>
      <w:r>
        <w:t xml:space="preserve">, 2014), </w:t>
      </w:r>
      <w:proofErr w:type="spellStart"/>
      <w:r>
        <w:t>hlm</w:t>
      </w:r>
      <w:proofErr w:type="spellEnd"/>
      <w:r>
        <w:t>. 118.</w:t>
      </w:r>
    </w:p>
  </w:footnote>
  <w:footnote w:id="82">
    <w:p w14:paraId="61B415B7" w14:textId="77777777" w:rsidR="00367C0A" w:rsidRDefault="00902A3A">
      <w:pPr>
        <w:pStyle w:val="FootnoteText"/>
        <w:ind w:firstLine="709"/>
      </w:pPr>
      <w:r>
        <w:rPr>
          <w:rStyle w:val="FootnoteCharacters"/>
        </w:rPr>
        <w:footnoteRef/>
      </w:r>
      <w:r>
        <w:t xml:space="preserve"> Pasal 480, Kitab </w:t>
      </w:r>
      <w:proofErr w:type="spellStart"/>
      <w:r>
        <w:t>Undang-Undang</w:t>
      </w:r>
      <w:proofErr w:type="spellEnd"/>
      <w:r>
        <w:t xml:space="preserve"> Hukum </w:t>
      </w:r>
      <w:proofErr w:type="spellStart"/>
      <w:r>
        <w:t>Pidana</w:t>
      </w:r>
      <w:proofErr w:type="spellEnd"/>
      <w:r>
        <w:t>.</w:t>
      </w:r>
    </w:p>
  </w:footnote>
  <w:footnote w:id="83">
    <w:p w14:paraId="54B20909"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AIPTU </w:t>
      </w:r>
      <w:proofErr w:type="spellStart"/>
      <w:r>
        <w:t>Suseno</w:t>
      </w:r>
      <w:proofErr w:type="spellEnd"/>
      <w:r>
        <w:t xml:space="preserve">, </w:t>
      </w:r>
      <w:proofErr w:type="spellStart"/>
      <w:r>
        <w:t>Penyidik</w:t>
      </w:r>
      <w:proofErr w:type="spellEnd"/>
      <w:r>
        <w:t xml:space="preserve"> </w:t>
      </w:r>
      <w:proofErr w:type="spellStart"/>
      <w:r>
        <w:t>Pembantu</w:t>
      </w:r>
      <w:proofErr w:type="spellEnd"/>
      <w:r>
        <w:t xml:space="preserve"> Polsek Stabat, </w:t>
      </w:r>
      <w:proofErr w:type="spellStart"/>
      <w:r>
        <w:t>tanggal</w:t>
      </w:r>
      <w:proofErr w:type="spellEnd"/>
      <w:r>
        <w:t xml:space="preserve"> 01 Juni 2026, </w:t>
      </w:r>
      <w:proofErr w:type="spellStart"/>
      <w:r>
        <w:t>tentang</w:t>
      </w:r>
      <w:proofErr w:type="spellEnd"/>
      <w:r>
        <w:t xml:space="preserve"> </w:t>
      </w:r>
      <w:proofErr w:type="spellStart"/>
      <w:r>
        <w:t>kesesuaian</w:t>
      </w:r>
      <w:proofErr w:type="spellEnd"/>
      <w:r>
        <w:t xml:space="preserve"> </w:t>
      </w:r>
      <w:proofErr w:type="spellStart"/>
      <w:r>
        <w:t>keterangan</w:t>
      </w:r>
      <w:proofErr w:type="spellEnd"/>
      <w:r>
        <w:t xml:space="preserve"> dan </w:t>
      </w:r>
      <w:proofErr w:type="spellStart"/>
      <w:r>
        <w:t>barang</w:t>
      </w:r>
      <w:proofErr w:type="spellEnd"/>
      <w:r>
        <w:t xml:space="preserve"> </w:t>
      </w:r>
      <w:proofErr w:type="spellStart"/>
      <w:r>
        <w:t>bukti</w:t>
      </w:r>
      <w:proofErr w:type="spellEnd"/>
      <w:r>
        <w:t>.</w:t>
      </w:r>
    </w:p>
  </w:footnote>
  <w:footnote w:id="84">
    <w:p w14:paraId="4D118C44" w14:textId="77777777" w:rsidR="00367C0A" w:rsidRDefault="00902A3A">
      <w:pPr>
        <w:pStyle w:val="FootnoteText"/>
        <w:ind w:firstLine="709"/>
        <w:jc w:val="both"/>
      </w:pPr>
      <w:r>
        <w:rPr>
          <w:rStyle w:val="FootnoteCharacters"/>
        </w:rPr>
        <w:footnoteRef/>
      </w:r>
      <w:r>
        <w:t xml:space="preserve"> </w:t>
      </w:r>
      <w:proofErr w:type="spellStart"/>
      <w:r>
        <w:t>Roeslan</w:t>
      </w:r>
      <w:proofErr w:type="spellEnd"/>
      <w:r>
        <w:t xml:space="preserve"> Saleh, </w:t>
      </w:r>
      <w:proofErr w:type="spellStart"/>
      <w:r>
        <w:rPr>
          <w:rStyle w:val="Emphasis"/>
        </w:rPr>
        <w:t>Perbuatan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Pertanggungjawaban</w:t>
      </w:r>
      <w:proofErr w:type="spellEnd"/>
      <w:r>
        <w:rPr>
          <w:rStyle w:val="Emphasis"/>
        </w:rPr>
        <w:t xml:space="preserve"> </w:t>
      </w:r>
      <w:proofErr w:type="spellStart"/>
      <w:r>
        <w:rPr>
          <w:rStyle w:val="Emphasis"/>
        </w:rPr>
        <w:t>Pidana</w:t>
      </w:r>
      <w:proofErr w:type="spellEnd"/>
      <w:r>
        <w:t xml:space="preserve"> (Jakarta: Aksara Baru, 1983), </w:t>
      </w:r>
      <w:proofErr w:type="spellStart"/>
      <w:r>
        <w:t>hlm</w:t>
      </w:r>
      <w:proofErr w:type="spellEnd"/>
      <w:r>
        <w:t>. 81.</w:t>
      </w:r>
    </w:p>
  </w:footnote>
  <w:footnote w:id="85">
    <w:p w14:paraId="353ED90E" w14:textId="77777777" w:rsidR="00367C0A" w:rsidRDefault="00902A3A">
      <w:pPr>
        <w:pStyle w:val="FootnoteText"/>
        <w:ind w:firstLine="709"/>
        <w:jc w:val="both"/>
      </w:pPr>
      <w:r>
        <w:rPr>
          <w:rStyle w:val="FootnoteCharacters"/>
        </w:rPr>
        <w:footnoteRef/>
      </w:r>
      <w:r>
        <w:t xml:space="preserve"> </w:t>
      </w:r>
      <w:proofErr w:type="spellStart"/>
      <w:r>
        <w:t>Lamintang</w:t>
      </w:r>
      <w:proofErr w:type="spellEnd"/>
      <w:r>
        <w:t xml:space="preserve">,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Harta</w:t>
      </w:r>
      <w:proofErr w:type="spellEnd"/>
      <w:r>
        <w:rPr>
          <w:rStyle w:val="Emphasis"/>
        </w:rPr>
        <w:t xml:space="preserve"> </w:t>
      </w:r>
      <w:proofErr w:type="spellStart"/>
      <w:r>
        <w:rPr>
          <w:rStyle w:val="Emphasis"/>
        </w:rPr>
        <w:t>Kekayaan</w:t>
      </w:r>
      <w:proofErr w:type="spellEnd"/>
      <w:r>
        <w:t xml:space="preserve"> (Bandung: Sinar Baru, 1989), </w:t>
      </w:r>
      <w:proofErr w:type="spellStart"/>
      <w:r>
        <w:t>hlm</w:t>
      </w:r>
      <w:proofErr w:type="spellEnd"/>
      <w:r>
        <w:t>. 81.</w:t>
      </w:r>
    </w:p>
  </w:footnote>
  <w:footnote w:id="86">
    <w:p w14:paraId="4719CB72" w14:textId="77777777" w:rsidR="00367C0A" w:rsidRDefault="00902A3A">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Pemeriksaan</w:t>
      </w:r>
      <w:proofErr w:type="spellEnd"/>
      <w:r>
        <w:rPr>
          <w:rStyle w:val="Emphasis"/>
        </w:rPr>
        <w:t xml:space="preserve"> </w:t>
      </w:r>
      <w:proofErr w:type="spellStart"/>
      <w:r>
        <w:rPr>
          <w:rStyle w:val="Emphasis"/>
        </w:rPr>
        <w:t>Sidang</w:t>
      </w:r>
      <w:proofErr w:type="spellEnd"/>
      <w:r>
        <w:rPr>
          <w:rStyle w:val="Emphasis"/>
        </w:rPr>
        <w:t xml:space="preserve"> Pengadilan, Banding, Kasasi, dan </w:t>
      </w:r>
      <w:proofErr w:type="spellStart"/>
      <w:r>
        <w:rPr>
          <w:rStyle w:val="Emphasis"/>
        </w:rPr>
        <w:t>Peninjauan</w:t>
      </w:r>
      <w:proofErr w:type="spellEnd"/>
      <w:r>
        <w:rPr>
          <w:rStyle w:val="Emphasis"/>
        </w:rPr>
        <w:t xml:space="preserve"> Kembali</w:t>
      </w:r>
      <w:r>
        <w:t xml:space="preserve"> (Jakarta: Sinar </w:t>
      </w:r>
      <w:proofErr w:type="spellStart"/>
      <w:r>
        <w:t>Grafika</w:t>
      </w:r>
      <w:proofErr w:type="spellEnd"/>
      <w:r>
        <w:t xml:space="preserve">, 2016), </w:t>
      </w:r>
      <w:proofErr w:type="spellStart"/>
      <w:r>
        <w:t>hlm</w:t>
      </w:r>
      <w:proofErr w:type="spellEnd"/>
      <w:r>
        <w:t>. 286.</w:t>
      </w:r>
    </w:p>
  </w:footnote>
  <w:footnote w:id="87">
    <w:p w14:paraId="439EBAB1" w14:textId="77777777" w:rsidR="00367C0A" w:rsidRDefault="00902A3A">
      <w:pPr>
        <w:pStyle w:val="FootnoteText"/>
        <w:ind w:firstLine="709"/>
        <w:jc w:val="both"/>
      </w:pPr>
      <w:r>
        <w:rPr>
          <w:rStyle w:val="FootnoteCharacters"/>
        </w:rPr>
        <w:footnoteRef/>
      </w:r>
      <w:r>
        <w:t xml:space="preserve"> D. </w:t>
      </w:r>
      <w:proofErr w:type="spellStart"/>
      <w:r>
        <w:t>Schaffmeister</w:t>
      </w:r>
      <w:proofErr w:type="spellEnd"/>
      <w:r>
        <w:t xml:space="preserve">, N. Keijzer, dan E.P.H. Sutorius, </w:t>
      </w:r>
      <w:r>
        <w:rPr>
          <w:rStyle w:val="Emphasis"/>
        </w:rPr>
        <w:t xml:space="preserve">Hukum </w:t>
      </w:r>
      <w:proofErr w:type="spellStart"/>
      <w:r>
        <w:rPr>
          <w:rStyle w:val="Emphasis"/>
        </w:rPr>
        <w:t>Pidana</w:t>
      </w:r>
      <w:proofErr w:type="spellEnd"/>
      <w:r>
        <w:t xml:space="preserve"> (Bandung: Citra Aditya Bakti, 2007), </w:t>
      </w:r>
      <w:proofErr w:type="spellStart"/>
      <w:r>
        <w:t>hlm</w:t>
      </w:r>
      <w:proofErr w:type="spellEnd"/>
      <w:r>
        <w:t>. 98.</w:t>
      </w:r>
    </w:p>
  </w:footnote>
  <w:footnote w:id="88">
    <w:p w14:paraId="3B6CEFD1" w14:textId="77777777" w:rsidR="00367C0A" w:rsidRDefault="00902A3A">
      <w:pPr>
        <w:pStyle w:val="FootnoteText"/>
        <w:ind w:firstLine="709"/>
        <w:jc w:val="both"/>
      </w:pPr>
      <w:r>
        <w:rPr>
          <w:rStyle w:val="FootnoteCharacters"/>
        </w:rPr>
        <w:footnoteRef/>
      </w:r>
      <w:r>
        <w:t xml:space="preserve"> </w:t>
      </w:r>
      <w:proofErr w:type="spellStart"/>
      <w:r>
        <w:t>Lilik</w:t>
      </w:r>
      <w:proofErr w:type="spellEnd"/>
      <w:r>
        <w:t xml:space="preserve"> Mulyadi, </w:t>
      </w:r>
      <w:proofErr w:type="spellStart"/>
      <w:r>
        <w:rPr>
          <w:rStyle w:val="Emphasis"/>
        </w:rPr>
        <w:t>Kompilasi</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Perspektif</w:t>
      </w:r>
      <w:proofErr w:type="spellEnd"/>
      <w:r>
        <w:rPr>
          <w:rStyle w:val="Emphasis"/>
        </w:rPr>
        <w:t xml:space="preserve"> </w:t>
      </w:r>
      <w:proofErr w:type="spellStart"/>
      <w:r>
        <w:rPr>
          <w:rStyle w:val="Emphasis"/>
        </w:rPr>
        <w:t>Teoretis</w:t>
      </w:r>
      <w:proofErr w:type="spellEnd"/>
      <w:r>
        <w:rPr>
          <w:rStyle w:val="Emphasis"/>
        </w:rPr>
        <w:t xml:space="preserve"> dan </w:t>
      </w:r>
      <w:proofErr w:type="spellStart"/>
      <w:r>
        <w:rPr>
          <w:rStyle w:val="Emphasis"/>
        </w:rPr>
        <w:t>Praktik</w:t>
      </w:r>
      <w:proofErr w:type="spellEnd"/>
      <w:r>
        <w:rPr>
          <w:rStyle w:val="Emphasis"/>
        </w:rPr>
        <w:t xml:space="preserve"> </w:t>
      </w:r>
      <w:proofErr w:type="spellStart"/>
      <w:r>
        <w:rPr>
          <w:rStyle w:val="Emphasis"/>
        </w:rPr>
        <w:t>Peradilan</w:t>
      </w:r>
      <w:proofErr w:type="spellEnd"/>
      <w:r>
        <w:t xml:space="preserve"> (Bandung: Mandar Maju, 2010), </w:t>
      </w:r>
      <w:proofErr w:type="spellStart"/>
      <w:r>
        <w:t>hlm</w:t>
      </w:r>
      <w:proofErr w:type="spellEnd"/>
      <w:r>
        <w:t>. 154.</w:t>
      </w:r>
    </w:p>
  </w:footnote>
  <w:footnote w:id="89">
    <w:p w14:paraId="5D3904C2" w14:textId="77777777" w:rsidR="00367C0A" w:rsidRDefault="00902A3A">
      <w:pPr>
        <w:pStyle w:val="FootnoteText"/>
        <w:ind w:firstLine="709"/>
        <w:jc w:val="both"/>
      </w:pPr>
      <w:r>
        <w:rPr>
          <w:rStyle w:val="FootnoteCharacters"/>
        </w:rPr>
        <w:footnoteRef/>
      </w:r>
      <w:r>
        <w:t xml:space="preserve"> </w:t>
      </w:r>
      <w:proofErr w:type="spellStart"/>
      <w:r>
        <w:t>Roeslan</w:t>
      </w:r>
      <w:proofErr w:type="spellEnd"/>
      <w:r>
        <w:t xml:space="preserve"> Saleh, </w:t>
      </w:r>
      <w:proofErr w:type="spellStart"/>
      <w:r>
        <w:rPr>
          <w:rStyle w:val="Emphasis"/>
        </w:rPr>
        <w:t>Pikiran-Pikiran</w:t>
      </w:r>
      <w:proofErr w:type="spellEnd"/>
      <w:r>
        <w:rPr>
          <w:rStyle w:val="Emphasis"/>
        </w:rPr>
        <w:t xml:space="preserve"> </w:t>
      </w:r>
      <w:proofErr w:type="spellStart"/>
      <w:r>
        <w:rPr>
          <w:rStyle w:val="Emphasis"/>
        </w:rPr>
        <w:t>tentang</w:t>
      </w:r>
      <w:proofErr w:type="spellEnd"/>
      <w:r>
        <w:rPr>
          <w:rStyle w:val="Emphasis"/>
        </w:rPr>
        <w:t xml:space="preserve"> </w:t>
      </w:r>
      <w:proofErr w:type="spellStart"/>
      <w:r>
        <w:rPr>
          <w:rStyle w:val="Emphasis"/>
        </w:rPr>
        <w:t>Pertanggungjawaban</w:t>
      </w:r>
      <w:proofErr w:type="spellEnd"/>
      <w:r>
        <w:rPr>
          <w:rStyle w:val="Emphasis"/>
        </w:rPr>
        <w:t xml:space="preserve"> </w:t>
      </w:r>
      <w:proofErr w:type="spellStart"/>
      <w:r>
        <w:rPr>
          <w:rStyle w:val="Emphasis"/>
        </w:rPr>
        <w:t>Pidana</w:t>
      </w:r>
      <w:proofErr w:type="spellEnd"/>
      <w:r>
        <w:t xml:space="preserve"> (Jakarta: Ghalia Indonesia, 1982), </w:t>
      </w:r>
      <w:proofErr w:type="spellStart"/>
      <w:r>
        <w:t>hlm</w:t>
      </w:r>
      <w:proofErr w:type="spellEnd"/>
      <w:r>
        <w:t>. 33.</w:t>
      </w:r>
    </w:p>
  </w:footnote>
  <w:footnote w:id="90">
    <w:p w14:paraId="6F786C87" w14:textId="77777777" w:rsidR="00367C0A" w:rsidRDefault="00902A3A">
      <w:pPr>
        <w:pStyle w:val="FootnoteText"/>
        <w:ind w:firstLine="672"/>
      </w:pPr>
      <w:r>
        <w:rPr>
          <w:rStyle w:val="FootnoteCharacters"/>
        </w:rPr>
        <w:footnoteRef/>
      </w:r>
      <w:r>
        <w:t xml:space="preserve"> </w:t>
      </w:r>
      <w:proofErr w:type="spellStart"/>
      <w:r>
        <w:t>Chairul</w:t>
      </w:r>
      <w:proofErr w:type="spellEnd"/>
      <w:r>
        <w:t xml:space="preserve"> Huda, </w:t>
      </w:r>
      <w:r>
        <w:rPr>
          <w:rStyle w:val="Emphasis"/>
        </w:rPr>
        <w:t xml:space="preserve">Tiada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w:t>
      </w:r>
      <w:r>
        <w:t xml:space="preserve"> (Jakarta: </w:t>
      </w:r>
      <w:proofErr w:type="spellStart"/>
      <w:r>
        <w:t>Kencana</w:t>
      </w:r>
      <w:proofErr w:type="spellEnd"/>
      <w:r>
        <w:t xml:space="preserve">, 2006), </w:t>
      </w:r>
      <w:proofErr w:type="spellStart"/>
      <w:r>
        <w:t>hlm</w:t>
      </w:r>
      <w:proofErr w:type="spellEnd"/>
      <w:r>
        <w:t>. 74.</w:t>
      </w:r>
    </w:p>
  </w:footnote>
  <w:footnote w:id="91">
    <w:p w14:paraId="79E86004" w14:textId="77777777" w:rsidR="00367C0A" w:rsidRDefault="00902A3A">
      <w:pPr>
        <w:pStyle w:val="FootnoteText"/>
        <w:ind w:firstLine="709"/>
        <w:jc w:val="both"/>
      </w:pPr>
      <w:r>
        <w:rPr>
          <w:rStyle w:val="FootnoteCharacters"/>
        </w:rPr>
        <w:footnoteRef/>
      </w:r>
      <w:r>
        <w:t xml:space="preserve"> </w:t>
      </w:r>
      <w:proofErr w:type="spellStart"/>
      <w:r>
        <w:t>Moeljatno</w:t>
      </w:r>
      <w:proofErr w:type="spellEnd"/>
      <w:r>
        <w:t xml:space="preserve">, </w:t>
      </w:r>
      <w:proofErr w:type="spellStart"/>
      <w:r>
        <w:rPr>
          <w:rStyle w:val="Emphasis"/>
        </w:rPr>
        <w:t>Perbuatan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Pertanggungjawaban</w:t>
      </w:r>
      <w:proofErr w:type="spellEnd"/>
      <w:r>
        <w:rPr>
          <w:rStyle w:val="Emphasis"/>
        </w:rPr>
        <w:t xml:space="preserve"> </w:t>
      </w:r>
      <w:proofErr w:type="spellStart"/>
      <w:r>
        <w:rPr>
          <w:rStyle w:val="Emphasis"/>
        </w:rPr>
        <w:t>dalam</w:t>
      </w:r>
      <w:proofErr w:type="spellEnd"/>
      <w:r>
        <w:rPr>
          <w:rStyle w:val="Emphasis"/>
        </w:rPr>
        <w:t xml:space="preserve"> Hukum </w:t>
      </w:r>
      <w:proofErr w:type="spellStart"/>
      <w:r>
        <w:rPr>
          <w:rStyle w:val="Emphasis"/>
        </w:rPr>
        <w:t>Pidana</w:t>
      </w:r>
      <w:proofErr w:type="spellEnd"/>
      <w:r>
        <w:t xml:space="preserve"> (Jakarta: Bina Aksara, 1983), </w:t>
      </w:r>
      <w:proofErr w:type="spellStart"/>
      <w:r>
        <w:t>hlm</w:t>
      </w:r>
      <w:proofErr w:type="spellEnd"/>
      <w:r>
        <w:t>. 25.</w:t>
      </w:r>
    </w:p>
  </w:footnote>
  <w:footnote w:id="92">
    <w:p w14:paraId="62B865B9"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w:t>
      </w:r>
      <w:proofErr w:type="spellStart"/>
      <w:r>
        <w:t>Sihar</w:t>
      </w:r>
      <w:proofErr w:type="spellEnd"/>
      <w:r>
        <w:t xml:space="preserve"> M.T. Sihotang, S.H., </w:t>
      </w:r>
      <w:proofErr w:type="spellStart"/>
      <w:r>
        <w:t>Penyidik</w:t>
      </w:r>
      <w:proofErr w:type="spellEnd"/>
      <w:r>
        <w:t xml:space="preserve"> </w:t>
      </w:r>
      <w:proofErr w:type="spellStart"/>
      <w:r>
        <w:t>Polsek</w:t>
      </w:r>
      <w:proofErr w:type="spellEnd"/>
      <w:r>
        <w:t xml:space="preserve"> Stabat, </w:t>
      </w:r>
      <w:proofErr w:type="spellStart"/>
      <w:r>
        <w:t>tanggal</w:t>
      </w:r>
      <w:proofErr w:type="spellEnd"/>
      <w:r>
        <w:t xml:space="preserve"> 01 Juni 2026.</w:t>
      </w:r>
    </w:p>
  </w:footnote>
  <w:footnote w:id="93">
    <w:p w14:paraId="5723562D" w14:textId="77777777" w:rsidR="00367C0A" w:rsidRDefault="00902A3A">
      <w:pPr>
        <w:pStyle w:val="FootnoteText"/>
        <w:ind w:firstLine="709"/>
      </w:pPr>
      <w:r>
        <w:rPr>
          <w:rStyle w:val="FootnoteCharacters"/>
        </w:rPr>
        <w:footnoteRef/>
      </w:r>
      <w:r>
        <w:t xml:space="preserve"> Pasal 55 </w:t>
      </w:r>
      <w:proofErr w:type="spellStart"/>
      <w:r>
        <w:t>ayat</w:t>
      </w:r>
      <w:proofErr w:type="spellEnd"/>
      <w:r>
        <w:t xml:space="preserve"> (1), Kitab </w:t>
      </w:r>
      <w:proofErr w:type="spellStart"/>
      <w:r>
        <w:t>Undang-Undang</w:t>
      </w:r>
      <w:proofErr w:type="spellEnd"/>
      <w:r>
        <w:t xml:space="preserve"> Hukum </w:t>
      </w:r>
      <w:proofErr w:type="spellStart"/>
      <w:r>
        <w:t>Pidana</w:t>
      </w:r>
      <w:proofErr w:type="spellEnd"/>
      <w:r>
        <w:t>.</w:t>
      </w:r>
    </w:p>
  </w:footnote>
  <w:footnote w:id="94">
    <w:p w14:paraId="01ADF2BD" w14:textId="77777777" w:rsidR="00367C0A" w:rsidRDefault="00902A3A">
      <w:pPr>
        <w:pStyle w:val="FootnoteText"/>
        <w:ind w:firstLine="709"/>
        <w:jc w:val="both"/>
      </w:pPr>
      <w:r>
        <w:rPr>
          <w:rStyle w:val="FootnoteCharacters"/>
        </w:rPr>
        <w:footnoteRef/>
      </w:r>
      <w:r>
        <w:t xml:space="preserve"> Adami Chazawi, </w:t>
      </w:r>
      <w:r>
        <w:rPr>
          <w:rStyle w:val="Emphasis"/>
        </w:rPr>
        <w:t xml:space="preserve">Kemahiran dan </w:t>
      </w:r>
      <w:proofErr w:type="spellStart"/>
      <w:r>
        <w:rPr>
          <w:rStyle w:val="Emphasis"/>
        </w:rPr>
        <w:t>Keterampilan</w:t>
      </w:r>
      <w:proofErr w:type="spellEnd"/>
      <w:r>
        <w:rPr>
          <w:rStyle w:val="Emphasis"/>
        </w:rPr>
        <w:t xml:space="preserve"> </w:t>
      </w:r>
      <w:proofErr w:type="spellStart"/>
      <w:r>
        <w:rPr>
          <w:rStyle w:val="Emphasis"/>
        </w:rPr>
        <w:t>Praktik</w:t>
      </w:r>
      <w:proofErr w:type="spellEnd"/>
      <w:r>
        <w:rPr>
          <w:rStyle w:val="Emphasis"/>
        </w:rPr>
        <w:t xml:space="preserve"> Hukum </w:t>
      </w:r>
      <w:proofErr w:type="spellStart"/>
      <w:r>
        <w:rPr>
          <w:rStyle w:val="Emphasis"/>
        </w:rPr>
        <w:t>Pidana</w:t>
      </w:r>
      <w:proofErr w:type="spellEnd"/>
      <w:r>
        <w:t xml:space="preserve"> (Malang: </w:t>
      </w:r>
      <w:proofErr w:type="spellStart"/>
      <w:r>
        <w:t>Bayumedia</w:t>
      </w:r>
      <w:proofErr w:type="spellEnd"/>
      <w:r>
        <w:t xml:space="preserve">, 2005), </w:t>
      </w:r>
      <w:proofErr w:type="spellStart"/>
      <w:r>
        <w:t>hlm</w:t>
      </w:r>
      <w:proofErr w:type="spellEnd"/>
      <w:r>
        <w:t>. 43.</w:t>
      </w:r>
    </w:p>
  </w:footnote>
  <w:footnote w:id="95">
    <w:p w14:paraId="0945EFD7"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AIPTU </w:t>
      </w:r>
      <w:proofErr w:type="spellStart"/>
      <w:r>
        <w:t>Suseno</w:t>
      </w:r>
      <w:proofErr w:type="spellEnd"/>
      <w:r>
        <w:t xml:space="preserve">, </w:t>
      </w:r>
      <w:proofErr w:type="spellStart"/>
      <w:r>
        <w:t>Penyidik</w:t>
      </w:r>
      <w:proofErr w:type="spellEnd"/>
      <w:r>
        <w:t xml:space="preserve"> </w:t>
      </w:r>
      <w:proofErr w:type="spellStart"/>
      <w:r>
        <w:t>Pembantu</w:t>
      </w:r>
      <w:proofErr w:type="spellEnd"/>
      <w:r>
        <w:t xml:space="preserve"> Polsek Stabat, </w:t>
      </w:r>
      <w:proofErr w:type="spellStart"/>
      <w:r>
        <w:t>tanggal</w:t>
      </w:r>
      <w:proofErr w:type="spellEnd"/>
      <w:r>
        <w:t xml:space="preserve"> 01 Juni 2026.</w:t>
      </w:r>
    </w:p>
  </w:footnote>
  <w:footnote w:id="96">
    <w:p w14:paraId="5B0EC0E8" w14:textId="77777777" w:rsidR="00367C0A" w:rsidRDefault="00902A3A">
      <w:pPr>
        <w:pStyle w:val="FootnoteText"/>
        <w:ind w:firstLine="709"/>
        <w:jc w:val="both"/>
      </w:pPr>
      <w:r>
        <w:rPr>
          <w:rStyle w:val="FootnoteCharacters"/>
        </w:rPr>
        <w:footnoteRef/>
      </w:r>
      <w:r>
        <w:t xml:space="preserve"> S.R. </w:t>
      </w:r>
      <w:proofErr w:type="spellStart"/>
      <w:r>
        <w:t>Sianturi</w:t>
      </w:r>
      <w:proofErr w:type="spellEnd"/>
      <w:r>
        <w:t xml:space="preserve">, </w:t>
      </w:r>
      <w:proofErr w:type="spellStart"/>
      <w:r>
        <w:rPr>
          <w:rStyle w:val="Emphasis"/>
        </w:rPr>
        <w:t>Tindak</w:t>
      </w:r>
      <w:proofErr w:type="spellEnd"/>
      <w:r>
        <w:rPr>
          <w:rStyle w:val="Emphasis"/>
        </w:rPr>
        <w:t xml:space="preserve"> </w:t>
      </w:r>
      <w:proofErr w:type="spellStart"/>
      <w:r>
        <w:rPr>
          <w:rStyle w:val="Emphasis"/>
        </w:rPr>
        <w:t>Pidana</w:t>
      </w:r>
      <w:proofErr w:type="spellEnd"/>
      <w:r>
        <w:rPr>
          <w:rStyle w:val="Emphasis"/>
        </w:rPr>
        <w:t xml:space="preserve"> di KUHP </w:t>
      </w:r>
      <w:proofErr w:type="spellStart"/>
      <w:r>
        <w:rPr>
          <w:rStyle w:val="Emphasis"/>
        </w:rPr>
        <w:t>Berikut</w:t>
      </w:r>
      <w:proofErr w:type="spellEnd"/>
      <w:r>
        <w:rPr>
          <w:rStyle w:val="Emphasis"/>
        </w:rPr>
        <w:t xml:space="preserve"> </w:t>
      </w:r>
      <w:proofErr w:type="spellStart"/>
      <w:r>
        <w:rPr>
          <w:rStyle w:val="Emphasis"/>
        </w:rPr>
        <w:t>Uraiannya</w:t>
      </w:r>
      <w:proofErr w:type="spellEnd"/>
      <w:r>
        <w:t xml:space="preserve"> (Jakarta: Alumni AHM-PTHM, 1983), </w:t>
      </w:r>
      <w:proofErr w:type="spellStart"/>
      <w:r>
        <w:t>hlm</w:t>
      </w:r>
      <w:proofErr w:type="spellEnd"/>
      <w:r>
        <w:t>. 594.</w:t>
      </w:r>
    </w:p>
  </w:footnote>
  <w:footnote w:id="97">
    <w:p w14:paraId="600B5EC9" w14:textId="77777777" w:rsidR="00367C0A" w:rsidRDefault="00902A3A">
      <w:pPr>
        <w:pStyle w:val="FootnoteText"/>
        <w:ind w:firstLine="709"/>
      </w:pPr>
      <w:r>
        <w:rPr>
          <w:rStyle w:val="FootnoteCharacters"/>
        </w:rPr>
        <w:footnoteRef/>
      </w:r>
      <w:r>
        <w:t xml:space="preserve"> </w:t>
      </w:r>
      <w:proofErr w:type="spellStart"/>
      <w:r>
        <w:t>Sudarto</w:t>
      </w:r>
      <w:proofErr w:type="spellEnd"/>
      <w:r>
        <w:t xml:space="preserve">, </w:t>
      </w:r>
      <w:r>
        <w:rPr>
          <w:rStyle w:val="Emphasis"/>
        </w:rPr>
        <w:t xml:space="preserve">Kapita </w:t>
      </w:r>
      <w:proofErr w:type="spellStart"/>
      <w:r>
        <w:rPr>
          <w:rStyle w:val="Emphasis"/>
        </w:rPr>
        <w:t>Selekta</w:t>
      </w:r>
      <w:proofErr w:type="spellEnd"/>
      <w:r>
        <w:rPr>
          <w:rStyle w:val="Emphasis"/>
        </w:rPr>
        <w:t xml:space="preserve"> Hukum </w:t>
      </w:r>
      <w:proofErr w:type="spellStart"/>
      <w:r>
        <w:rPr>
          <w:rStyle w:val="Emphasis"/>
        </w:rPr>
        <w:t>Pidana</w:t>
      </w:r>
      <w:proofErr w:type="spellEnd"/>
      <w:r>
        <w:t xml:space="preserve"> (Bandung: Alumni, 2010), </w:t>
      </w:r>
      <w:proofErr w:type="spellStart"/>
      <w:r>
        <w:t>hlm</w:t>
      </w:r>
      <w:proofErr w:type="spellEnd"/>
      <w:r>
        <w:t>. 71.</w:t>
      </w:r>
    </w:p>
  </w:footnote>
  <w:footnote w:id="98">
    <w:p w14:paraId="2F401FC2" w14:textId="77777777" w:rsidR="00367C0A" w:rsidRDefault="00902A3A">
      <w:pPr>
        <w:pStyle w:val="FootnoteText"/>
        <w:ind w:firstLine="709"/>
      </w:pPr>
      <w:r>
        <w:rPr>
          <w:rStyle w:val="FootnoteCharacters"/>
        </w:rPr>
        <w:footnoteRef/>
      </w:r>
      <w:r>
        <w:t xml:space="preserve"> Pasal 44, Kitab </w:t>
      </w:r>
      <w:proofErr w:type="spellStart"/>
      <w:r>
        <w:t>Undang-Undang</w:t>
      </w:r>
      <w:proofErr w:type="spellEnd"/>
      <w:r>
        <w:t xml:space="preserve"> Hukum </w:t>
      </w:r>
      <w:proofErr w:type="spellStart"/>
      <w:r>
        <w:t>Pidana</w:t>
      </w:r>
      <w:proofErr w:type="spellEnd"/>
      <w:r>
        <w:t>.</w:t>
      </w:r>
    </w:p>
  </w:footnote>
  <w:footnote w:id="99">
    <w:p w14:paraId="4A0F2E0B" w14:textId="77777777" w:rsidR="00367C0A" w:rsidRDefault="00902A3A">
      <w:pPr>
        <w:pStyle w:val="FootnoteText"/>
        <w:ind w:firstLine="644"/>
      </w:pPr>
      <w:r>
        <w:rPr>
          <w:rStyle w:val="FootnoteCharacters"/>
        </w:rPr>
        <w:footnoteRef/>
      </w:r>
      <w:r>
        <w:t xml:space="preserve"> Andi Hamzah,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2014), </w:t>
      </w:r>
      <w:proofErr w:type="spellStart"/>
      <w:r>
        <w:t>hlm</w:t>
      </w:r>
      <w:proofErr w:type="spellEnd"/>
      <w:r>
        <w:t>. 126.</w:t>
      </w:r>
    </w:p>
  </w:footnote>
  <w:footnote w:id="100">
    <w:p w14:paraId="43662A4C" w14:textId="77777777" w:rsidR="00367C0A" w:rsidRDefault="00902A3A">
      <w:pPr>
        <w:pStyle w:val="FootnoteText"/>
        <w:ind w:firstLine="709"/>
        <w:jc w:val="both"/>
      </w:pPr>
      <w:r>
        <w:rPr>
          <w:rStyle w:val="FootnoteCharacters"/>
        </w:rPr>
        <w:footnoteRef/>
      </w:r>
      <w:r>
        <w:t xml:space="preserve"> Jan Remmelink, </w:t>
      </w:r>
      <w:proofErr w:type="spellStart"/>
      <w:r>
        <w:rPr>
          <w:rStyle w:val="Emphasis"/>
        </w:rPr>
        <w:t>Pengantar</w:t>
      </w:r>
      <w:proofErr w:type="spellEnd"/>
      <w:r>
        <w:rPr>
          <w:rStyle w:val="Emphasis"/>
        </w:rPr>
        <w:t xml:space="preserve"> Hukum </w:t>
      </w:r>
      <w:proofErr w:type="spellStart"/>
      <w:r>
        <w:rPr>
          <w:rStyle w:val="Emphasis"/>
        </w:rPr>
        <w:t>Pidana</w:t>
      </w:r>
      <w:proofErr w:type="spellEnd"/>
      <w:r>
        <w:rPr>
          <w:rStyle w:val="Emphasis"/>
        </w:rPr>
        <w:t xml:space="preserve"> Material 1</w:t>
      </w:r>
      <w:r>
        <w:t xml:space="preserve"> (Yogyakarta: </w:t>
      </w:r>
      <w:proofErr w:type="spellStart"/>
      <w:r>
        <w:t>Maharsa</w:t>
      </w:r>
      <w:proofErr w:type="spellEnd"/>
      <w:r>
        <w:t xml:space="preserve">, 2014), </w:t>
      </w:r>
      <w:proofErr w:type="spellStart"/>
      <w:r>
        <w:t>hlm</w:t>
      </w:r>
      <w:proofErr w:type="spellEnd"/>
      <w:r>
        <w:t>. 171.</w:t>
      </w:r>
    </w:p>
  </w:footnote>
  <w:footnote w:id="101">
    <w:p w14:paraId="41717855" w14:textId="77777777" w:rsidR="00367C0A" w:rsidRDefault="00902A3A">
      <w:pPr>
        <w:pStyle w:val="FootnoteText"/>
        <w:ind w:firstLine="709"/>
      </w:pPr>
      <w:r>
        <w:rPr>
          <w:rStyle w:val="FootnoteCharacters"/>
        </w:rPr>
        <w:footnoteRef/>
      </w:r>
      <w:r>
        <w:t xml:space="preserve"> Andi Zainal Abidin Farid, </w:t>
      </w:r>
      <w:r>
        <w:rPr>
          <w:rStyle w:val="Emphasis"/>
        </w:rPr>
        <w:t xml:space="preserve">Hukum </w:t>
      </w:r>
      <w:proofErr w:type="spellStart"/>
      <w:r>
        <w:rPr>
          <w:rStyle w:val="Emphasis"/>
        </w:rPr>
        <w:t>Pidana</w:t>
      </w:r>
      <w:proofErr w:type="spellEnd"/>
      <w:r>
        <w:rPr>
          <w:rStyle w:val="Emphasis"/>
        </w:rPr>
        <w:t xml:space="preserve"> I</w:t>
      </w:r>
      <w:r>
        <w:t xml:space="preserve"> (Jakarta: Sinar </w:t>
      </w:r>
      <w:proofErr w:type="spellStart"/>
      <w:r>
        <w:t>Grafika</w:t>
      </w:r>
      <w:proofErr w:type="spellEnd"/>
      <w:r>
        <w:t xml:space="preserve">, 2007), </w:t>
      </w:r>
      <w:proofErr w:type="spellStart"/>
      <w:r>
        <w:t>hlm</w:t>
      </w:r>
      <w:proofErr w:type="spellEnd"/>
      <w:r>
        <w:t>. 221.</w:t>
      </w:r>
    </w:p>
  </w:footnote>
  <w:footnote w:id="102">
    <w:p w14:paraId="39221CBC"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w:t>
      </w:r>
      <w:proofErr w:type="spellStart"/>
      <w:r>
        <w:t>Sihar</w:t>
      </w:r>
      <w:proofErr w:type="spellEnd"/>
      <w:r>
        <w:t xml:space="preserve"> M.T. Sihotang, S.H., </w:t>
      </w:r>
      <w:proofErr w:type="spellStart"/>
      <w:r>
        <w:t>Penyidik</w:t>
      </w:r>
      <w:proofErr w:type="spellEnd"/>
      <w:r>
        <w:t xml:space="preserve"> </w:t>
      </w:r>
      <w:proofErr w:type="spellStart"/>
      <w:r>
        <w:t>Polsek</w:t>
      </w:r>
      <w:proofErr w:type="spellEnd"/>
      <w:r>
        <w:t xml:space="preserve"> Stabat, </w:t>
      </w:r>
      <w:proofErr w:type="spellStart"/>
      <w:r>
        <w:t>tanggal</w:t>
      </w:r>
      <w:proofErr w:type="spellEnd"/>
      <w:r>
        <w:t xml:space="preserve"> 01 Juni 2026, </w:t>
      </w:r>
      <w:proofErr w:type="spellStart"/>
      <w:r>
        <w:t>tentang</w:t>
      </w:r>
      <w:proofErr w:type="spellEnd"/>
      <w:r>
        <w:t xml:space="preserve"> </w:t>
      </w:r>
      <w:proofErr w:type="spellStart"/>
      <w:r>
        <w:t>pembedaan</w:t>
      </w:r>
      <w:proofErr w:type="spellEnd"/>
      <w:r>
        <w:t xml:space="preserve"> </w:t>
      </w:r>
      <w:proofErr w:type="spellStart"/>
      <w:r>
        <w:t>keterlibatan</w:t>
      </w:r>
      <w:proofErr w:type="spellEnd"/>
      <w:r>
        <w:t xml:space="preserve"> </w:t>
      </w:r>
      <w:proofErr w:type="spellStart"/>
      <w:r>
        <w:t>pelaku</w:t>
      </w:r>
      <w:proofErr w:type="spellEnd"/>
      <w:r>
        <w:t>.</w:t>
      </w:r>
    </w:p>
  </w:footnote>
  <w:footnote w:id="103">
    <w:p w14:paraId="6CB5398D" w14:textId="77777777" w:rsidR="00367C0A" w:rsidRDefault="00902A3A">
      <w:pPr>
        <w:pStyle w:val="FootnoteText"/>
        <w:ind w:firstLine="709"/>
      </w:pPr>
      <w:r>
        <w:rPr>
          <w:rStyle w:val="FootnoteCharacters"/>
        </w:rPr>
        <w:footnoteRef/>
      </w:r>
      <w:r>
        <w:t xml:space="preserve"> Pasal 55 </w:t>
      </w:r>
      <w:proofErr w:type="spellStart"/>
      <w:r>
        <w:t>ayat</w:t>
      </w:r>
      <w:proofErr w:type="spellEnd"/>
      <w:r>
        <w:t xml:space="preserve"> (1) jo. Pasal 363 </w:t>
      </w:r>
      <w:proofErr w:type="spellStart"/>
      <w:r>
        <w:t>ayat</w:t>
      </w:r>
      <w:proofErr w:type="spellEnd"/>
      <w:r>
        <w:t xml:space="preserve"> (1) ke-4, Kitab </w:t>
      </w:r>
      <w:proofErr w:type="spellStart"/>
      <w:r>
        <w:t>Undang-Undang</w:t>
      </w:r>
      <w:proofErr w:type="spellEnd"/>
      <w:r>
        <w:t xml:space="preserve"> Hukum </w:t>
      </w:r>
      <w:proofErr w:type="spellStart"/>
      <w:r>
        <w:t>Pidana</w:t>
      </w:r>
      <w:proofErr w:type="spellEnd"/>
      <w:r>
        <w:t>.</w:t>
      </w:r>
    </w:p>
  </w:footnote>
  <w:footnote w:id="104">
    <w:p w14:paraId="7F6DCD94" w14:textId="77777777" w:rsidR="00367C0A" w:rsidRDefault="00902A3A">
      <w:pPr>
        <w:pStyle w:val="FootnoteText"/>
        <w:ind w:firstLine="709"/>
        <w:jc w:val="both"/>
      </w:pPr>
      <w:r>
        <w:rPr>
          <w:rStyle w:val="FootnoteCharacters"/>
        </w:rPr>
        <w:footnoteRef/>
      </w:r>
      <w:r>
        <w:t xml:space="preserve"> </w:t>
      </w:r>
      <w:proofErr w:type="spellStart"/>
      <w:r>
        <w:t>Moeljatno</w:t>
      </w:r>
      <w:proofErr w:type="spellEnd"/>
      <w:r>
        <w:t xml:space="preserve">, </w:t>
      </w:r>
      <w:r>
        <w:rPr>
          <w:rStyle w:val="Emphasis"/>
        </w:rPr>
        <w:t xml:space="preserve">Hukum </w:t>
      </w:r>
      <w:proofErr w:type="spellStart"/>
      <w:r>
        <w:rPr>
          <w:rStyle w:val="Emphasis"/>
        </w:rPr>
        <w:t>Pidana</w:t>
      </w:r>
      <w:proofErr w:type="spellEnd"/>
      <w:r>
        <w:rPr>
          <w:rStyle w:val="Emphasis"/>
        </w:rPr>
        <w:t xml:space="preserve"> Delik-</w:t>
      </w:r>
      <w:proofErr w:type="spellStart"/>
      <w:r>
        <w:rPr>
          <w:rStyle w:val="Emphasis"/>
        </w:rPr>
        <w:t>Delik</w:t>
      </w:r>
      <w:proofErr w:type="spellEnd"/>
      <w:r>
        <w:rPr>
          <w:rStyle w:val="Emphasis"/>
        </w:rPr>
        <w:t xml:space="preserve"> </w:t>
      </w:r>
      <w:proofErr w:type="spellStart"/>
      <w:r>
        <w:rPr>
          <w:rStyle w:val="Emphasis"/>
        </w:rPr>
        <w:t>Percobaan</w:t>
      </w:r>
      <w:proofErr w:type="spellEnd"/>
      <w:r>
        <w:rPr>
          <w:rStyle w:val="Emphasis"/>
        </w:rPr>
        <w:t xml:space="preserve"> dan </w:t>
      </w:r>
      <w:proofErr w:type="spellStart"/>
      <w:r>
        <w:rPr>
          <w:rStyle w:val="Emphasis"/>
        </w:rPr>
        <w:t>Penyertaan</w:t>
      </w:r>
      <w:proofErr w:type="spellEnd"/>
      <w:r>
        <w:t xml:space="preserve"> (Jakarta: Bina Aksara, 1985), </w:t>
      </w:r>
      <w:proofErr w:type="spellStart"/>
      <w:r>
        <w:t>hlm</w:t>
      </w:r>
      <w:proofErr w:type="spellEnd"/>
      <w:r>
        <w:t>. 73.</w:t>
      </w:r>
    </w:p>
  </w:footnote>
  <w:footnote w:id="105">
    <w:p w14:paraId="3274B49B" w14:textId="77777777" w:rsidR="00367C0A" w:rsidRDefault="00902A3A">
      <w:pPr>
        <w:pStyle w:val="FootnoteText"/>
        <w:ind w:firstLine="709"/>
      </w:pPr>
      <w:r>
        <w:rPr>
          <w:rStyle w:val="FootnoteCharacters"/>
        </w:rPr>
        <w:footnoteRef/>
      </w:r>
      <w:r>
        <w:t xml:space="preserve"> Pasal 56, Kitab </w:t>
      </w:r>
      <w:proofErr w:type="spellStart"/>
      <w:r>
        <w:t>Undang-Undang</w:t>
      </w:r>
      <w:proofErr w:type="spellEnd"/>
      <w:r>
        <w:t xml:space="preserve"> Hukum </w:t>
      </w:r>
      <w:proofErr w:type="spellStart"/>
      <w:r>
        <w:t>Pidana</w:t>
      </w:r>
      <w:proofErr w:type="spellEnd"/>
      <w:r>
        <w:t>.</w:t>
      </w:r>
    </w:p>
  </w:footnote>
  <w:footnote w:id="106">
    <w:p w14:paraId="4241724E" w14:textId="77777777" w:rsidR="00367C0A" w:rsidRDefault="00902A3A">
      <w:pPr>
        <w:pStyle w:val="FootnoteText"/>
        <w:ind w:firstLine="709"/>
        <w:jc w:val="both"/>
      </w:pPr>
      <w:r>
        <w:rPr>
          <w:rStyle w:val="FootnoteCharacters"/>
        </w:rPr>
        <w:footnoteRef/>
      </w:r>
      <w:r>
        <w:t xml:space="preserve"> Pasal 184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107">
    <w:p w14:paraId="63CAE590" w14:textId="77777777" w:rsidR="00367C0A" w:rsidRDefault="00902A3A">
      <w:pPr>
        <w:pStyle w:val="FootnoteText"/>
        <w:ind w:firstLine="672"/>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2016), </w:t>
      </w:r>
      <w:proofErr w:type="spellStart"/>
      <w:r>
        <w:t>hlm</w:t>
      </w:r>
      <w:proofErr w:type="spellEnd"/>
      <w:r>
        <w:t>. 134.</w:t>
      </w:r>
    </w:p>
  </w:footnote>
  <w:footnote w:id="108">
    <w:p w14:paraId="79D5AD3C" w14:textId="77777777" w:rsidR="00367C0A" w:rsidRDefault="00902A3A">
      <w:pPr>
        <w:pStyle w:val="FootnoteText"/>
        <w:ind w:firstLine="709"/>
        <w:jc w:val="both"/>
      </w:pPr>
      <w:r>
        <w:rPr>
          <w:rStyle w:val="FootnoteCharacters"/>
        </w:rPr>
        <w:footnoteRef/>
      </w:r>
      <w:r>
        <w:t xml:space="preserve"> Pasal 189 </w:t>
      </w:r>
      <w:proofErr w:type="spellStart"/>
      <w:r>
        <w:t>ayat</w:t>
      </w:r>
      <w:proofErr w:type="spellEnd"/>
      <w:r>
        <w:t xml:space="preserve"> (4),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109">
    <w:p w14:paraId="1563D488" w14:textId="77777777" w:rsidR="00367C0A" w:rsidRDefault="00902A3A">
      <w:pPr>
        <w:pStyle w:val="FootnoteText"/>
        <w:ind w:firstLine="714"/>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AIPTU </w:t>
      </w:r>
      <w:proofErr w:type="spellStart"/>
      <w:r>
        <w:t>Suseno</w:t>
      </w:r>
      <w:proofErr w:type="spellEnd"/>
      <w:r>
        <w:t xml:space="preserve">, </w:t>
      </w:r>
      <w:proofErr w:type="spellStart"/>
      <w:r>
        <w:t>Penyidik</w:t>
      </w:r>
      <w:proofErr w:type="spellEnd"/>
      <w:r>
        <w:t xml:space="preserve"> </w:t>
      </w:r>
      <w:proofErr w:type="spellStart"/>
      <w:r>
        <w:t>Pembantu</w:t>
      </w:r>
      <w:proofErr w:type="spellEnd"/>
      <w:r>
        <w:t xml:space="preserve"> Polsek Stabat, </w:t>
      </w:r>
      <w:proofErr w:type="spellStart"/>
      <w:r>
        <w:t>tanggal</w:t>
      </w:r>
      <w:proofErr w:type="spellEnd"/>
      <w:r>
        <w:t xml:space="preserve"> 01 Juni 2026, </w:t>
      </w:r>
      <w:proofErr w:type="spellStart"/>
      <w:r>
        <w:t>tentang</w:t>
      </w:r>
      <w:proofErr w:type="spellEnd"/>
      <w:r>
        <w:t xml:space="preserve"> </w:t>
      </w:r>
      <w:proofErr w:type="spellStart"/>
      <w:r>
        <w:t>kendala</w:t>
      </w:r>
      <w:proofErr w:type="spellEnd"/>
      <w:r>
        <w:t xml:space="preserve"> </w:t>
      </w:r>
      <w:proofErr w:type="spellStart"/>
      <w:r>
        <w:t>keterangan</w:t>
      </w:r>
      <w:proofErr w:type="spellEnd"/>
      <w:r>
        <w:t xml:space="preserve"> para </w:t>
      </w:r>
      <w:proofErr w:type="spellStart"/>
      <w:r>
        <w:t>pelaku</w:t>
      </w:r>
      <w:proofErr w:type="spellEnd"/>
      <w:r>
        <w:t>.</w:t>
      </w:r>
    </w:p>
  </w:footnote>
  <w:footnote w:id="110">
    <w:p w14:paraId="31DD1117" w14:textId="77777777" w:rsidR="00367C0A" w:rsidRDefault="00902A3A">
      <w:pPr>
        <w:pStyle w:val="FootnoteText"/>
        <w:ind w:firstLine="709"/>
        <w:jc w:val="both"/>
      </w:pPr>
      <w:r>
        <w:rPr>
          <w:rStyle w:val="FootnoteCharacters"/>
        </w:rPr>
        <w:footnoteRef/>
      </w:r>
      <w:r>
        <w:t xml:space="preserve"> Hari Sasangka dan Lily Rosita, </w:t>
      </w:r>
      <w:r>
        <w:rPr>
          <w:rStyle w:val="Emphasis"/>
        </w:rPr>
        <w:t xml:space="preserve">Hukum </w:t>
      </w:r>
      <w:proofErr w:type="spellStart"/>
      <w:r>
        <w:rPr>
          <w:rStyle w:val="Emphasis"/>
        </w:rPr>
        <w:t>Pembuktian</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Perkara</w:t>
      </w:r>
      <w:proofErr w:type="spellEnd"/>
      <w:r>
        <w:rPr>
          <w:rStyle w:val="Emphasis"/>
        </w:rPr>
        <w:t xml:space="preserve"> </w:t>
      </w:r>
      <w:proofErr w:type="spellStart"/>
      <w:r>
        <w:rPr>
          <w:rStyle w:val="Emphasis"/>
        </w:rPr>
        <w:t>Pidana</w:t>
      </w:r>
      <w:proofErr w:type="spellEnd"/>
      <w:r>
        <w:t xml:space="preserve"> (Bandung: Mandar Maju, 2003), </w:t>
      </w:r>
      <w:proofErr w:type="spellStart"/>
      <w:r>
        <w:t>hlm</w:t>
      </w:r>
      <w:proofErr w:type="spellEnd"/>
      <w:r>
        <w:t>. 99.</w:t>
      </w:r>
    </w:p>
  </w:footnote>
  <w:footnote w:id="111">
    <w:p w14:paraId="08E5753A" w14:textId="77777777" w:rsidR="00367C0A" w:rsidRDefault="00902A3A">
      <w:pPr>
        <w:pStyle w:val="FootnoteText"/>
        <w:ind w:firstLine="700"/>
        <w:jc w:val="both"/>
      </w:pPr>
      <w:r>
        <w:rPr>
          <w:rStyle w:val="FootnoteCharacters"/>
        </w:rPr>
        <w:footnoteRef/>
      </w:r>
      <w:r>
        <w:t xml:space="preserve"> </w:t>
      </w:r>
      <w:proofErr w:type="spellStart"/>
      <w:r>
        <w:t>Tongat</w:t>
      </w:r>
      <w:proofErr w:type="spellEnd"/>
      <w:r>
        <w:t xml:space="preserve">, </w:t>
      </w:r>
      <w:r>
        <w:rPr>
          <w:rStyle w:val="Emphasis"/>
        </w:rPr>
        <w:t xml:space="preserve">Dasar-Dasar Hukum </w:t>
      </w:r>
      <w:proofErr w:type="spellStart"/>
      <w:r>
        <w:rPr>
          <w:rStyle w:val="Emphasis"/>
        </w:rPr>
        <w:t>Pidana</w:t>
      </w:r>
      <w:proofErr w:type="spellEnd"/>
      <w:r>
        <w:rPr>
          <w:rStyle w:val="Emphasis"/>
        </w:rPr>
        <w:t xml:space="preserve"> Indonesia </w:t>
      </w:r>
      <w:proofErr w:type="spellStart"/>
      <w:r>
        <w:rPr>
          <w:rStyle w:val="Emphasis"/>
        </w:rPr>
        <w:t>dalam</w:t>
      </w:r>
      <w:proofErr w:type="spellEnd"/>
      <w:r>
        <w:rPr>
          <w:rStyle w:val="Emphasis"/>
        </w:rPr>
        <w:t xml:space="preserve"> </w:t>
      </w:r>
      <w:proofErr w:type="spellStart"/>
      <w:r>
        <w:rPr>
          <w:rStyle w:val="Emphasis"/>
        </w:rPr>
        <w:t>Perspektif</w:t>
      </w:r>
      <w:proofErr w:type="spellEnd"/>
      <w:r>
        <w:rPr>
          <w:rStyle w:val="Emphasis"/>
        </w:rPr>
        <w:t xml:space="preserve"> </w:t>
      </w:r>
      <w:proofErr w:type="spellStart"/>
      <w:r>
        <w:rPr>
          <w:rStyle w:val="Emphasis"/>
        </w:rPr>
        <w:t>Pembaharuan</w:t>
      </w:r>
      <w:proofErr w:type="spellEnd"/>
      <w:r>
        <w:t xml:space="preserve"> (Malang: UMM Press, 2012), </w:t>
      </w:r>
      <w:proofErr w:type="spellStart"/>
      <w:r>
        <w:t>hlm</w:t>
      </w:r>
      <w:proofErr w:type="spellEnd"/>
      <w:r>
        <w:t>. 136.</w:t>
      </w:r>
    </w:p>
  </w:footnote>
  <w:footnote w:id="112">
    <w:p w14:paraId="65CEEBB0" w14:textId="77777777" w:rsidR="00367C0A" w:rsidRDefault="00902A3A">
      <w:pPr>
        <w:pStyle w:val="FootnoteText"/>
        <w:ind w:firstLine="672"/>
      </w:pPr>
      <w:r>
        <w:rPr>
          <w:rStyle w:val="FootnoteCharacters"/>
        </w:rPr>
        <w:footnoteRef/>
      </w:r>
      <w:r>
        <w:t xml:space="preserve"> Pasal 480, Kitab </w:t>
      </w:r>
      <w:proofErr w:type="spellStart"/>
      <w:r>
        <w:t>Undang-Undang</w:t>
      </w:r>
      <w:proofErr w:type="spellEnd"/>
      <w:r>
        <w:t xml:space="preserve"> Hukum </w:t>
      </w:r>
      <w:proofErr w:type="spellStart"/>
      <w:r>
        <w:t>Pidana</w:t>
      </w:r>
      <w:proofErr w:type="spellEnd"/>
      <w:r>
        <w:t>.</w:t>
      </w:r>
    </w:p>
  </w:footnote>
  <w:footnote w:id="113">
    <w:p w14:paraId="4E34B2ED" w14:textId="77777777" w:rsidR="00367C0A" w:rsidRDefault="00902A3A">
      <w:pPr>
        <w:pStyle w:val="FootnoteText"/>
        <w:ind w:firstLine="709"/>
        <w:jc w:val="both"/>
      </w:pPr>
      <w:r>
        <w:rPr>
          <w:rStyle w:val="FootnoteCharacters"/>
        </w:rPr>
        <w:footnoteRef/>
      </w:r>
      <w:r>
        <w:t xml:space="preserve"> D. </w:t>
      </w:r>
      <w:proofErr w:type="spellStart"/>
      <w:r>
        <w:t>Schaffmeister</w:t>
      </w:r>
      <w:proofErr w:type="spellEnd"/>
      <w:r>
        <w:t xml:space="preserve">, N. Keijzer, dan E.P.H. Sutorius, </w:t>
      </w:r>
      <w:r>
        <w:rPr>
          <w:rStyle w:val="Emphasis"/>
        </w:rPr>
        <w:t xml:space="preserve">Hukum </w:t>
      </w:r>
      <w:proofErr w:type="spellStart"/>
      <w:r>
        <w:rPr>
          <w:rStyle w:val="Emphasis"/>
        </w:rPr>
        <w:t>Pidana</w:t>
      </w:r>
      <w:proofErr w:type="spellEnd"/>
      <w:r>
        <w:t xml:space="preserve"> (Bandung: Citra Aditya Bakti, 2007), </w:t>
      </w:r>
      <w:proofErr w:type="spellStart"/>
      <w:r>
        <w:t>hlm</w:t>
      </w:r>
      <w:proofErr w:type="spellEnd"/>
      <w:r>
        <w:t>. 98.</w:t>
      </w:r>
    </w:p>
  </w:footnote>
  <w:footnote w:id="114">
    <w:p w14:paraId="56C10ED4" w14:textId="77777777" w:rsidR="00367C0A" w:rsidRDefault="00902A3A">
      <w:pPr>
        <w:pStyle w:val="FootnoteText"/>
        <w:ind w:firstLine="709"/>
      </w:pPr>
      <w:r>
        <w:rPr>
          <w:rStyle w:val="FootnoteCharacters"/>
        </w:rPr>
        <w:footnoteRef/>
      </w:r>
      <w:r>
        <w:t xml:space="preserve"> Pasal 1 </w:t>
      </w:r>
      <w:proofErr w:type="spellStart"/>
      <w:r>
        <w:t>ayat</w:t>
      </w:r>
      <w:proofErr w:type="spellEnd"/>
      <w:r>
        <w:t xml:space="preserve"> (1), Kitab </w:t>
      </w:r>
      <w:proofErr w:type="spellStart"/>
      <w:r>
        <w:t>Undang-Undang</w:t>
      </w:r>
      <w:proofErr w:type="spellEnd"/>
      <w:r>
        <w:t xml:space="preserve"> Hukum </w:t>
      </w:r>
      <w:proofErr w:type="spellStart"/>
      <w:r>
        <w:t>Pidana</w:t>
      </w:r>
      <w:proofErr w:type="spellEnd"/>
      <w:r>
        <w:t>.</w:t>
      </w:r>
    </w:p>
  </w:footnote>
  <w:footnote w:id="115">
    <w:p w14:paraId="4762C7F6" w14:textId="77777777" w:rsidR="00367C0A" w:rsidRDefault="00902A3A">
      <w:pPr>
        <w:pStyle w:val="FootnoteText"/>
        <w:ind w:firstLine="709"/>
      </w:pPr>
      <w:r>
        <w:rPr>
          <w:rStyle w:val="FootnoteCharacters"/>
        </w:rPr>
        <w:footnoteRef/>
      </w:r>
      <w:r>
        <w:t xml:space="preserve"> Pasal 362 jo. Pasal 363 </w:t>
      </w:r>
      <w:proofErr w:type="spellStart"/>
      <w:r>
        <w:t>ayat</w:t>
      </w:r>
      <w:proofErr w:type="spellEnd"/>
      <w:r>
        <w:t xml:space="preserve"> (1) ke-4, Kitab </w:t>
      </w:r>
      <w:proofErr w:type="spellStart"/>
      <w:r>
        <w:t>Undang-Undang</w:t>
      </w:r>
      <w:proofErr w:type="spellEnd"/>
      <w:r>
        <w:t xml:space="preserve"> Hukum </w:t>
      </w:r>
      <w:proofErr w:type="spellStart"/>
      <w:r>
        <w:t>Pidana</w:t>
      </w:r>
      <w:proofErr w:type="spellEnd"/>
      <w:r>
        <w:t>.</w:t>
      </w:r>
    </w:p>
  </w:footnote>
  <w:footnote w:id="116">
    <w:p w14:paraId="339E0641" w14:textId="77777777" w:rsidR="00367C0A" w:rsidRDefault="00902A3A">
      <w:pPr>
        <w:pStyle w:val="FootnoteText"/>
        <w:ind w:firstLine="709"/>
        <w:jc w:val="both"/>
      </w:pPr>
      <w:r>
        <w:rPr>
          <w:rStyle w:val="FootnoteCharacters"/>
        </w:rPr>
        <w:footnoteRef/>
      </w:r>
      <w:r>
        <w:t xml:space="preserve"> Eddy O.S. Hiariej, </w:t>
      </w:r>
      <w:r>
        <w:rPr>
          <w:rStyle w:val="Emphasis"/>
        </w:rPr>
        <w:t xml:space="preserve">Asas </w:t>
      </w:r>
      <w:proofErr w:type="spellStart"/>
      <w:r>
        <w:rPr>
          <w:rStyle w:val="Emphasis"/>
        </w:rPr>
        <w:t>Legalitas</w:t>
      </w:r>
      <w:proofErr w:type="spellEnd"/>
      <w:r>
        <w:rPr>
          <w:rStyle w:val="Emphasis"/>
        </w:rPr>
        <w:t xml:space="preserve"> dan </w:t>
      </w:r>
      <w:proofErr w:type="spellStart"/>
      <w:r>
        <w:rPr>
          <w:rStyle w:val="Emphasis"/>
        </w:rPr>
        <w:t>Penemuan</w:t>
      </w:r>
      <w:proofErr w:type="spellEnd"/>
      <w:r>
        <w:rPr>
          <w:rStyle w:val="Emphasis"/>
        </w:rPr>
        <w:t xml:space="preserve"> Hukum </w:t>
      </w:r>
      <w:proofErr w:type="spellStart"/>
      <w:r>
        <w:rPr>
          <w:rStyle w:val="Emphasis"/>
        </w:rPr>
        <w:t>dalam</w:t>
      </w:r>
      <w:proofErr w:type="spellEnd"/>
      <w:r>
        <w:rPr>
          <w:rStyle w:val="Emphasis"/>
        </w:rPr>
        <w:t xml:space="preserve"> Hukum </w:t>
      </w:r>
      <w:proofErr w:type="spellStart"/>
      <w:r>
        <w:rPr>
          <w:rStyle w:val="Emphasis"/>
        </w:rPr>
        <w:t>Pidana</w:t>
      </w:r>
      <w:proofErr w:type="spellEnd"/>
      <w:r>
        <w:t xml:space="preserve"> (Jakarta: </w:t>
      </w:r>
      <w:proofErr w:type="spellStart"/>
      <w:r>
        <w:t>Erlangga</w:t>
      </w:r>
      <w:proofErr w:type="spellEnd"/>
      <w:r>
        <w:t xml:space="preserve">, 2009), </w:t>
      </w:r>
      <w:proofErr w:type="spellStart"/>
      <w:r>
        <w:t>hlm</w:t>
      </w:r>
      <w:proofErr w:type="spellEnd"/>
      <w:r>
        <w:t>. 18.</w:t>
      </w:r>
    </w:p>
  </w:footnote>
  <w:footnote w:id="117">
    <w:p w14:paraId="5062B5F1"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IPDA </w:t>
      </w:r>
      <w:proofErr w:type="spellStart"/>
      <w:r>
        <w:t>Sihar</w:t>
      </w:r>
      <w:proofErr w:type="spellEnd"/>
      <w:r>
        <w:t xml:space="preserve"> M.T. Sihotang, S.H., </w:t>
      </w:r>
      <w:proofErr w:type="spellStart"/>
      <w:r>
        <w:t>Penyidik</w:t>
      </w:r>
      <w:proofErr w:type="spellEnd"/>
      <w:r>
        <w:t xml:space="preserve"> </w:t>
      </w:r>
      <w:proofErr w:type="spellStart"/>
      <w:r>
        <w:t>Polsek</w:t>
      </w:r>
      <w:proofErr w:type="spellEnd"/>
      <w:r>
        <w:t xml:space="preserve"> Stabat, </w:t>
      </w:r>
      <w:proofErr w:type="spellStart"/>
      <w:r>
        <w:t>tanggal</w:t>
      </w:r>
      <w:proofErr w:type="spellEnd"/>
      <w:r>
        <w:t xml:space="preserve"> 01 Juni 2026, </w:t>
      </w:r>
      <w:proofErr w:type="spellStart"/>
      <w:r>
        <w:t>tentang</w:t>
      </w:r>
      <w:proofErr w:type="spellEnd"/>
      <w:r>
        <w:t xml:space="preserve"> </w:t>
      </w:r>
      <w:proofErr w:type="spellStart"/>
      <w:r>
        <w:t>pencatatan</w:t>
      </w:r>
      <w:proofErr w:type="spellEnd"/>
      <w:r>
        <w:t xml:space="preserve"> </w:t>
      </w:r>
      <w:proofErr w:type="spellStart"/>
      <w:r>
        <w:t>peran</w:t>
      </w:r>
      <w:proofErr w:type="spellEnd"/>
      <w:r>
        <w:t xml:space="preserve"> </w:t>
      </w:r>
      <w:proofErr w:type="spellStart"/>
      <w:r>
        <w:t>dalam</w:t>
      </w:r>
      <w:proofErr w:type="spellEnd"/>
      <w:r>
        <w:t xml:space="preserve"> </w:t>
      </w:r>
      <w:proofErr w:type="spellStart"/>
      <w:r>
        <w:t>berkas</w:t>
      </w:r>
      <w:proofErr w:type="spellEnd"/>
      <w:r>
        <w:t xml:space="preserve"> </w:t>
      </w:r>
      <w:proofErr w:type="spellStart"/>
      <w:r>
        <w:t>perkara</w:t>
      </w:r>
      <w:proofErr w:type="spellEnd"/>
      <w:r>
        <w:t>.</w:t>
      </w:r>
    </w:p>
  </w:footnote>
  <w:footnote w:id="118">
    <w:p w14:paraId="75EABF94" w14:textId="77777777" w:rsidR="00367C0A" w:rsidRDefault="00902A3A">
      <w:pPr>
        <w:pStyle w:val="FootnoteText"/>
        <w:ind w:firstLine="709"/>
      </w:pPr>
      <w:r>
        <w:rPr>
          <w:rStyle w:val="FootnoteCharacters"/>
        </w:rPr>
        <w:footnoteRef/>
      </w:r>
      <w:r>
        <w:t xml:space="preserve"> Muladi, </w:t>
      </w:r>
      <w:r>
        <w:rPr>
          <w:rStyle w:val="Emphasis"/>
        </w:rPr>
        <w:t xml:space="preserve">Lembaga </w:t>
      </w:r>
      <w:proofErr w:type="spellStart"/>
      <w:r>
        <w:rPr>
          <w:rStyle w:val="Emphasis"/>
        </w:rPr>
        <w:t>Pidana</w:t>
      </w:r>
      <w:proofErr w:type="spellEnd"/>
      <w:r>
        <w:rPr>
          <w:rStyle w:val="Emphasis"/>
        </w:rPr>
        <w:t xml:space="preserve"> </w:t>
      </w:r>
      <w:proofErr w:type="spellStart"/>
      <w:r>
        <w:rPr>
          <w:rStyle w:val="Emphasis"/>
        </w:rPr>
        <w:t>Bersyarat</w:t>
      </w:r>
      <w:proofErr w:type="spellEnd"/>
      <w:r>
        <w:t xml:space="preserve"> (Bandung: Alumni, 2002), </w:t>
      </w:r>
      <w:proofErr w:type="spellStart"/>
      <w:r>
        <w:t>hlm</w:t>
      </w:r>
      <w:proofErr w:type="spellEnd"/>
      <w:r>
        <w:t>. 61.</w:t>
      </w:r>
    </w:p>
  </w:footnote>
  <w:footnote w:id="119">
    <w:p w14:paraId="49C49996" w14:textId="77777777" w:rsidR="00367C0A" w:rsidRDefault="00902A3A">
      <w:pPr>
        <w:pStyle w:val="FootnoteText"/>
        <w:ind w:firstLine="709"/>
        <w:jc w:val="both"/>
      </w:pPr>
      <w:r>
        <w:rPr>
          <w:rStyle w:val="FootnoteCharacters"/>
        </w:rPr>
        <w:footnoteRef/>
      </w:r>
      <w:r>
        <w:t xml:space="preserve"> Muladi dan Barda Nawawi Arief, </w:t>
      </w:r>
      <w:r>
        <w:rPr>
          <w:rStyle w:val="Emphasis"/>
        </w:rPr>
        <w:t xml:space="preserve">Teori-Teori dan </w:t>
      </w:r>
      <w:proofErr w:type="spellStart"/>
      <w:r>
        <w:rPr>
          <w:rStyle w:val="Emphasis"/>
        </w:rPr>
        <w:t>Kebijakan</w:t>
      </w:r>
      <w:proofErr w:type="spellEnd"/>
      <w:r>
        <w:rPr>
          <w:rStyle w:val="Emphasis"/>
        </w:rPr>
        <w:t xml:space="preserve"> </w:t>
      </w:r>
      <w:proofErr w:type="spellStart"/>
      <w:r>
        <w:rPr>
          <w:rStyle w:val="Emphasis"/>
        </w:rPr>
        <w:t>Pidana</w:t>
      </w:r>
      <w:proofErr w:type="spellEnd"/>
      <w:r>
        <w:t xml:space="preserve"> (Bandung: Alumni, 2010), </w:t>
      </w:r>
      <w:proofErr w:type="spellStart"/>
      <w:r>
        <w:t>hlm</w:t>
      </w:r>
      <w:proofErr w:type="spellEnd"/>
      <w:r>
        <w:t>. 52.</w:t>
      </w:r>
    </w:p>
  </w:footnote>
  <w:footnote w:id="120">
    <w:p w14:paraId="1644DD0C" w14:textId="77777777" w:rsidR="00367C0A" w:rsidRDefault="00902A3A">
      <w:pPr>
        <w:pStyle w:val="FootnoteText"/>
        <w:ind w:firstLine="709"/>
        <w:jc w:val="both"/>
      </w:pPr>
      <w:r>
        <w:rPr>
          <w:rStyle w:val="FootnoteCharacters"/>
        </w:rPr>
        <w:footnoteRef/>
      </w:r>
      <w:r>
        <w:t xml:space="preserve"> </w:t>
      </w:r>
      <w:proofErr w:type="spellStart"/>
      <w:r>
        <w:t>Roeslan</w:t>
      </w:r>
      <w:proofErr w:type="spellEnd"/>
      <w:r>
        <w:t xml:space="preserve"> Saleh, </w:t>
      </w:r>
      <w:proofErr w:type="spellStart"/>
      <w:r>
        <w:rPr>
          <w:rStyle w:val="Emphasis"/>
        </w:rPr>
        <w:t>Perbuatan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Pertanggungjawaban</w:t>
      </w:r>
      <w:proofErr w:type="spellEnd"/>
      <w:r>
        <w:rPr>
          <w:rStyle w:val="Emphasis"/>
        </w:rPr>
        <w:t xml:space="preserve"> </w:t>
      </w:r>
      <w:proofErr w:type="spellStart"/>
      <w:r>
        <w:rPr>
          <w:rStyle w:val="Emphasis"/>
        </w:rPr>
        <w:t>Pidana</w:t>
      </w:r>
      <w:proofErr w:type="spellEnd"/>
      <w:r>
        <w:t xml:space="preserve"> (Jakarta: Aksara Baru, 1983), </w:t>
      </w:r>
      <w:proofErr w:type="spellStart"/>
      <w:r>
        <w:t>hlm</w:t>
      </w:r>
      <w:proofErr w:type="spellEnd"/>
      <w:r>
        <w:t>. 81.</w:t>
      </w:r>
    </w:p>
  </w:footnote>
  <w:footnote w:id="121">
    <w:p w14:paraId="6AE0C8C2" w14:textId="77777777" w:rsidR="00367C0A" w:rsidRDefault="00902A3A">
      <w:pPr>
        <w:pStyle w:val="FootnoteText"/>
        <w:ind w:firstLine="709"/>
      </w:pPr>
      <w:r>
        <w:rPr>
          <w:rStyle w:val="FootnoteCharacters"/>
        </w:rPr>
        <w:footnoteRef/>
      </w:r>
      <w:r>
        <w:t xml:space="preserve"> </w:t>
      </w:r>
      <w:proofErr w:type="spellStart"/>
      <w:r>
        <w:t>Satjipto</w:t>
      </w:r>
      <w:proofErr w:type="spellEnd"/>
      <w:r>
        <w:t xml:space="preserve"> Rahardjo, </w:t>
      </w:r>
      <w:proofErr w:type="spellStart"/>
      <w:r>
        <w:rPr>
          <w:rStyle w:val="Emphasis"/>
        </w:rPr>
        <w:t>Ilmu</w:t>
      </w:r>
      <w:proofErr w:type="spellEnd"/>
      <w:r>
        <w:rPr>
          <w:rStyle w:val="Emphasis"/>
        </w:rPr>
        <w:t xml:space="preserve"> Hukum</w:t>
      </w:r>
      <w:r>
        <w:t xml:space="preserve"> (Bandung: Citra Aditya Bakti, 2014), </w:t>
      </w:r>
      <w:proofErr w:type="spellStart"/>
      <w:r>
        <w:t>hlm</w:t>
      </w:r>
      <w:proofErr w:type="spellEnd"/>
      <w:r>
        <w:t>. 45.</w:t>
      </w:r>
    </w:p>
  </w:footnote>
  <w:footnote w:id="122">
    <w:p w14:paraId="4C82AB8B" w14:textId="77777777" w:rsidR="00367C0A" w:rsidRDefault="00902A3A">
      <w:pPr>
        <w:pStyle w:val="FootnoteText"/>
        <w:ind w:firstLine="709"/>
        <w:jc w:val="both"/>
      </w:pPr>
      <w:r>
        <w:rPr>
          <w:rStyle w:val="FootnoteCharacters"/>
        </w:rPr>
        <w:footnoteRef/>
      </w:r>
      <w:r>
        <w:t xml:space="preserve"> Barda Nawawi Arief, </w:t>
      </w:r>
      <w:proofErr w:type="spellStart"/>
      <w:r>
        <w:rPr>
          <w:rStyle w:val="Emphasis"/>
        </w:rPr>
        <w:t>Masalah</w:t>
      </w:r>
      <w:proofErr w:type="spellEnd"/>
      <w:r>
        <w:rPr>
          <w:rStyle w:val="Emphasis"/>
        </w:rPr>
        <w:t xml:space="preserve"> </w:t>
      </w:r>
      <w:proofErr w:type="spellStart"/>
      <w:r>
        <w:rPr>
          <w:rStyle w:val="Emphasis"/>
        </w:rPr>
        <w:t>Penegakan</w:t>
      </w:r>
      <w:proofErr w:type="spellEnd"/>
      <w:r>
        <w:rPr>
          <w:rStyle w:val="Emphasis"/>
        </w:rPr>
        <w:t xml:space="preserve"> Hukum dan </w:t>
      </w:r>
      <w:proofErr w:type="spellStart"/>
      <w:r>
        <w:rPr>
          <w:rStyle w:val="Emphasis"/>
        </w:rPr>
        <w:t>Kebijakan</w:t>
      </w:r>
      <w:proofErr w:type="spellEnd"/>
      <w:r>
        <w:rPr>
          <w:rStyle w:val="Emphasis"/>
        </w:rPr>
        <w:t xml:space="preserve"> </w:t>
      </w:r>
      <w:proofErr w:type="spellStart"/>
      <w:r>
        <w:rPr>
          <w:rStyle w:val="Emphasis"/>
        </w:rPr>
        <w:t>Penanggulangan</w:t>
      </w:r>
      <w:proofErr w:type="spellEnd"/>
      <w:r>
        <w:rPr>
          <w:rStyle w:val="Emphasis"/>
        </w:rPr>
        <w:t xml:space="preserve"> </w:t>
      </w:r>
      <w:proofErr w:type="spellStart"/>
      <w:r>
        <w:rPr>
          <w:rStyle w:val="Emphasis"/>
        </w:rPr>
        <w:t>Kejahatan</w:t>
      </w:r>
      <w:proofErr w:type="spellEnd"/>
      <w:r>
        <w:t xml:space="preserve"> (Jakarta: </w:t>
      </w:r>
      <w:proofErr w:type="spellStart"/>
      <w:r>
        <w:t>Kencana</w:t>
      </w:r>
      <w:proofErr w:type="spellEnd"/>
      <w:r>
        <w:t xml:space="preserve">, 2014), </w:t>
      </w:r>
      <w:proofErr w:type="spellStart"/>
      <w:r>
        <w:t>hlm</w:t>
      </w:r>
      <w:proofErr w:type="spellEnd"/>
      <w:r>
        <w:t>. 77.</w:t>
      </w:r>
    </w:p>
  </w:footnote>
  <w:footnote w:id="123">
    <w:p w14:paraId="4BFBD115" w14:textId="77777777" w:rsidR="00367C0A" w:rsidRDefault="00902A3A">
      <w:pPr>
        <w:pStyle w:val="FootnoteText"/>
        <w:ind w:firstLine="709"/>
        <w:jc w:val="both"/>
      </w:pPr>
      <w:r>
        <w:rPr>
          <w:rStyle w:val="FootnoteCharacters"/>
        </w:rPr>
        <w:footnoteRef/>
      </w:r>
      <w:r>
        <w:t xml:space="preserve"> </w:t>
      </w:r>
      <w:proofErr w:type="spellStart"/>
      <w:r>
        <w:t>Romli</w:t>
      </w:r>
      <w:proofErr w:type="spellEnd"/>
      <w:r>
        <w:t xml:space="preserve"> </w:t>
      </w:r>
      <w:proofErr w:type="spellStart"/>
      <w:r>
        <w:t>Atmasasmita</w:t>
      </w:r>
      <w:proofErr w:type="spellEnd"/>
      <w:r>
        <w:t xml:space="preserve">, </w:t>
      </w:r>
      <w:proofErr w:type="spellStart"/>
      <w:r>
        <w:rPr>
          <w:rStyle w:val="Emphasis"/>
        </w:rPr>
        <w:t>Sistem</w:t>
      </w:r>
      <w:proofErr w:type="spellEnd"/>
      <w:r>
        <w:rPr>
          <w:rStyle w:val="Emphasis"/>
        </w:rPr>
        <w:t xml:space="preserve"> </w:t>
      </w:r>
      <w:proofErr w:type="spellStart"/>
      <w:r>
        <w:rPr>
          <w:rStyle w:val="Emphasis"/>
        </w:rPr>
        <w:t>Peradilan</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Kontemporer</w:t>
      </w:r>
      <w:proofErr w:type="spellEnd"/>
      <w:r>
        <w:t xml:space="preserve"> (Jakarta: </w:t>
      </w:r>
      <w:proofErr w:type="spellStart"/>
      <w:r>
        <w:t>Kencana</w:t>
      </w:r>
      <w:proofErr w:type="spellEnd"/>
      <w:r>
        <w:t xml:space="preserve">, 2010), </w:t>
      </w:r>
      <w:proofErr w:type="spellStart"/>
      <w:r>
        <w:t>hlm</w:t>
      </w:r>
      <w:proofErr w:type="spellEnd"/>
      <w:r>
        <w:t>. 78.</w:t>
      </w:r>
    </w:p>
  </w:footnote>
  <w:footnote w:id="124">
    <w:p w14:paraId="1690E773" w14:textId="77777777" w:rsidR="00367C0A" w:rsidRDefault="00902A3A">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AIPTU </w:t>
      </w:r>
      <w:proofErr w:type="spellStart"/>
      <w:r>
        <w:t>Suseno</w:t>
      </w:r>
      <w:proofErr w:type="spellEnd"/>
      <w:r>
        <w:t xml:space="preserve">, </w:t>
      </w:r>
      <w:proofErr w:type="spellStart"/>
      <w:r>
        <w:t>Penyidik</w:t>
      </w:r>
      <w:proofErr w:type="spellEnd"/>
      <w:r>
        <w:t xml:space="preserve"> </w:t>
      </w:r>
      <w:proofErr w:type="spellStart"/>
      <w:r>
        <w:t>Pembantu</w:t>
      </w:r>
      <w:proofErr w:type="spellEnd"/>
      <w:r>
        <w:t xml:space="preserve"> Polsek Stabat, </w:t>
      </w:r>
      <w:proofErr w:type="spellStart"/>
      <w:r>
        <w:t>tanggal</w:t>
      </w:r>
      <w:proofErr w:type="spellEnd"/>
      <w:r>
        <w:t xml:space="preserve"> 01 Juni 2026, </w:t>
      </w:r>
      <w:proofErr w:type="spellStart"/>
      <w:r>
        <w:t>tentang</w:t>
      </w:r>
      <w:proofErr w:type="spellEnd"/>
      <w:r>
        <w:t xml:space="preserve"> </w:t>
      </w:r>
      <w:proofErr w:type="spellStart"/>
      <w:r>
        <w:t>kelengkapan</w:t>
      </w:r>
      <w:proofErr w:type="spellEnd"/>
      <w:r>
        <w:t xml:space="preserve"> </w:t>
      </w:r>
      <w:proofErr w:type="spellStart"/>
      <w:r>
        <w:t>berkas</w:t>
      </w:r>
      <w:proofErr w:type="spellEnd"/>
      <w:r>
        <w:t xml:space="preserve"> </w:t>
      </w:r>
      <w:proofErr w:type="spellStart"/>
      <w:r>
        <w:t>perkara</w:t>
      </w:r>
      <w:proofErr w:type="spellEnd"/>
      <w:r>
        <w:t>.</w:t>
      </w:r>
    </w:p>
  </w:footnote>
  <w:footnote w:id="125">
    <w:p w14:paraId="500BF1EE" w14:textId="77777777" w:rsidR="00367C0A" w:rsidRDefault="00902A3A">
      <w:pPr>
        <w:pStyle w:val="FootnoteText"/>
        <w:ind w:firstLine="709"/>
        <w:jc w:val="both"/>
      </w:pPr>
      <w:r>
        <w:rPr>
          <w:rStyle w:val="FootnoteCharacters"/>
        </w:rPr>
        <w:footnoteRef/>
      </w:r>
      <w:r>
        <w:t xml:space="preserve"> Rusli Muhammad, </w:t>
      </w:r>
      <w:r>
        <w:rPr>
          <w:rStyle w:val="Emphasis"/>
        </w:rPr>
        <w:t xml:space="preserve">Hukum Acara </w:t>
      </w:r>
      <w:proofErr w:type="spellStart"/>
      <w:r>
        <w:rPr>
          <w:rStyle w:val="Emphasis"/>
        </w:rPr>
        <w:t>Pidana</w:t>
      </w:r>
      <w:proofErr w:type="spellEnd"/>
      <w:r>
        <w:rPr>
          <w:rStyle w:val="Emphasis"/>
        </w:rPr>
        <w:t xml:space="preserve"> </w:t>
      </w:r>
      <w:proofErr w:type="spellStart"/>
      <w:r>
        <w:rPr>
          <w:rStyle w:val="Emphasis"/>
        </w:rPr>
        <w:t>Kontemporer</w:t>
      </w:r>
      <w:proofErr w:type="spellEnd"/>
      <w:r>
        <w:t xml:space="preserve"> (Bandung: Citra Aditya Bakti, 2007), </w:t>
      </w:r>
      <w:proofErr w:type="spellStart"/>
      <w:r>
        <w:t>hlm</w:t>
      </w:r>
      <w:proofErr w:type="spellEnd"/>
      <w:r>
        <w:t>. 61.</w:t>
      </w:r>
    </w:p>
  </w:footnote>
  <w:footnote w:id="126">
    <w:p w14:paraId="754D186A" w14:textId="77777777" w:rsidR="00367C0A" w:rsidRDefault="00902A3A">
      <w:pPr>
        <w:pStyle w:val="FootnoteText"/>
        <w:ind w:firstLine="709"/>
      </w:pPr>
      <w:r>
        <w:rPr>
          <w:rStyle w:val="FootnoteCharacters"/>
        </w:rPr>
        <w:footnoteRef/>
      </w:r>
      <w:r>
        <w:t xml:space="preserve"> Pasal 50,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127">
    <w:p w14:paraId="29AE9C5C" w14:textId="77777777" w:rsidR="00367C0A" w:rsidRDefault="00902A3A">
      <w:pPr>
        <w:pStyle w:val="FootnoteText"/>
        <w:ind w:firstLine="709"/>
      </w:pPr>
      <w:r>
        <w:rPr>
          <w:rStyle w:val="FootnoteCharacters"/>
        </w:rPr>
        <w:footnoteRef/>
      </w:r>
      <w:r>
        <w:t xml:space="preserve"> Pasal 183,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128">
    <w:p w14:paraId="2AB14705" w14:textId="77777777" w:rsidR="00367C0A" w:rsidRDefault="00902A3A">
      <w:pPr>
        <w:pStyle w:val="FootnoteText"/>
        <w:ind w:firstLine="709"/>
        <w:jc w:val="both"/>
      </w:pPr>
      <w:r>
        <w:rPr>
          <w:rStyle w:val="FootnoteCharacters"/>
        </w:rPr>
        <w:footnoteRef/>
      </w:r>
      <w:r>
        <w:t xml:space="preserve"> Leden Marpaung, </w:t>
      </w:r>
      <w:proofErr w:type="spellStart"/>
      <w:r>
        <w:rPr>
          <w:rStyle w:val="Emphasis"/>
        </w:rPr>
        <w:t>Tindak</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Harta</w:t>
      </w:r>
      <w:proofErr w:type="spellEnd"/>
      <w:r>
        <w:rPr>
          <w:rStyle w:val="Emphasis"/>
        </w:rPr>
        <w:t xml:space="preserve"> </w:t>
      </w:r>
      <w:proofErr w:type="spellStart"/>
      <w:r>
        <w:rPr>
          <w:rStyle w:val="Emphasis"/>
        </w:rPr>
        <w:t>Kekayaan</w:t>
      </w:r>
      <w:proofErr w:type="spellEnd"/>
      <w:r>
        <w:t xml:space="preserve"> (Jakarta: Sinar </w:t>
      </w:r>
      <w:proofErr w:type="spellStart"/>
      <w:r>
        <w:t>Grafika</w:t>
      </w:r>
      <w:proofErr w:type="spellEnd"/>
      <w:r>
        <w:t xml:space="preserve">, 2009), </w:t>
      </w:r>
      <w:proofErr w:type="spellStart"/>
      <w:r>
        <w:t>hlm</w:t>
      </w:r>
      <w:proofErr w:type="spellEnd"/>
      <w:r>
        <w:t>. 64.</w:t>
      </w:r>
    </w:p>
  </w:footnote>
  <w:footnote w:id="129">
    <w:p w14:paraId="6DFE5D3C" w14:textId="77777777" w:rsidR="00367C0A" w:rsidRDefault="00902A3A">
      <w:pPr>
        <w:pStyle w:val="FootnoteText"/>
        <w:ind w:firstLine="709"/>
        <w:jc w:val="both"/>
      </w:pPr>
      <w:r>
        <w:rPr>
          <w:rStyle w:val="FootnoteCharacters"/>
        </w:rPr>
        <w:footnoteRef/>
      </w:r>
      <w:r>
        <w:t xml:space="preserve"> </w:t>
      </w:r>
      <w:proofErr w:type="spellStart"/>
      <w:r>
        <w:t>Lilik</w:t>
      </w:r>
      <w:proofErr w:type="spellEnd"/>
      <w:r>
        <w:t xml:space="preserve"> Mulyadi, </w:t>
      </w:r>
      <w:proofErr w:type="spellStart"/>
      <w:r>
        <w:rPr>
          <w:rStyle w:val="Emphasis"/>
        </w:rPr>
        <w:t>Kompilasi</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Perspektif</w:t>
      </w:r>
      <w:proofErr w:type="spellEnd"/>
      <w:r>
        <w:rPr>
          <w:rStyle w:val="Emphasis"/>
        </w:rPr>
        <w:t xml:space="preserve"> </w:t>
      </w:r>
      <w:proofErr w:type="spellStart"/>
      <w:r>
        <w:rPr>
          <w:rStyle w:val="Emphasis"/>
        </w:rPr>
        <w:t>Teoretis</w:t>
      </w:r>
      <w:proofErr w:type="spellEnd"/>
      <w:r>
        <w:rPr>
          <w:rStyle w:val="Emphasis"/>
        </w:rPr>
        <w:t xml:space="preserve"> dan </w:t>
      </w:r>
      <w:proofErr w:type="spellStart"/>
      <w:r>
        <w:rPr>
          <w:rStyle w:val="Emphasis"/>
        </w:rPr>
        <w:t>Praktik</w:t>
      </w:r>
      <w:proofErr w:type="spellEnd"/>
      <w:r>
        <w:rPr>
          <w:rStyle w:val="Emphasis"/>
        </w:rPr>
        <w:t xml:space="preserve"> </w:t>
      </w:r>
      <w:proofErr w:type="spellStart"/>
      <w:r>
        <w:rPr>
          <w:rStyle w:val="Emphasis"/>
        </w:rPr>
        <w:t>Peradilan</w:t>
      </w:r>
      <w:proofErr w:type="spellEnd"/>
      <w:r>
        <w:t xml:space="preserve"> (Bandung: Mandar Maju, 2010), </w:t>
      </w:r>
      <w:proofErr w:type="spellStart"/>
      <w:r>
        <w:t>hlm</w:t>
      </w:r>
      <w:proofErr w:type="spellEnd"/>
      <w:r>
        <w:t>. 154.</w:t>
      </w:r>
    </w:p>
  </w:footnote>
  <w:footnote w:id="130">
    <w:p w14:paraId="524BBF81" w14:textId="77777777" w:rsidR="00367C0A" w:rsidRDefault="00902A3A">
      <w:pPr>
        <w:pStyle w:val="FootnoteText"/>
        <w:ind w:firstLine="709"/>
      </w:pPr>
      <w:r>
        <w:rPr>
          <w:rStyle w:val="FootnoteCharacters"/>
        </w:rPr>
        <w:footnoteRef/>
      </w:r>
      <w:r>
        <w:t xml:space="preserve"> P.A.F. </w:t>
      </w:r>
      <w:proofErr w:type="spellStart"/>
      <w:r>
        <w:t>Lamintang</w:t>
      </w:r>
      <w:proofErr w:type="spellEnd"/>
      <w:r>
        <w:t xml:space="preserve">, </w:t>
      </w:r>
      <w:r>
        <w:rPr>
          <w:rStyle w:val="Emphasis"/>
        </w:rPr>
        <w:t xml:space="preserve">Hukum </w:t>
      </w:r>
      <w:proofErr w:type="spellStart"/>
      <w:r>
        <w:rPr>
          <w:rStyle w:val="Emphasis"/>
        </w:rPr>
        <w:t>Penitensier</w:t>
      </w:r>
      <w:proofErr w:type="spellEnd"/>
      <w:r>
        <w:rPr>
          <w:rStyle w:val="Emphasis"/>
        </w:rPr>
        <w:t xml:space="preserve"> Indonesia</w:t>
      </w:r>
      <w:r>
        <w:t xml:space="preserve"> (Bandung: </w:t>
      </w:r>
      <w:proofErr w:type="spellStart"/>
      <w:r>
        <w:t>Armico</w:t>
      </w:r>
      <w:proofErr w:type="spellEnd"/>
      <w:r>
        <w:t xml:space="preserve">, 1984), </w:t>
      </w:r>
      <w:proofErr w:type="spellStart"/>
      <w:r>
        <w:t>hlm</w:t>
      </w:r>
      <w:proofErr w:type="spellEnd"/>
      <w:r>
        <w:t>. 92.</w:t>
      </w:r>
    </w:p>
  </w:footnote>
  <w:footnote w:id="131">
    <w:p w14:paraId="3EFEA9AE" w14:textId="77777777" w:rsidR="00367C0A" w:rsidRDefault="00902A3A">
      <w:pPr>
        <w:pStyle w:val="FootnoteText"/>
        <w:ind w:firstLine="709"/>
      </w:pPr>
      <w:r>
        <w:rPr>
          <w:rStyle w:val="FootnoteCharacters"/>
        </w:rPr>
        <w:footnoteRef/>
      </w:r>
      <w:r>
        <w:t xml:space="preserve"> Zainal Abidin Farid, </w:t>
      </w:r>
      <w:r>
        <w:rPr>
          <w:rStyle w:val="Emphasis"/>
        </w:rPr>
        <w:t xml:space="preserve">Hukum </w:t>
      </w:r>
      <w:proofErr w:type="spellStart"/>
      <w:r>
        <w:rPr>
          <w:rStyle w:val="Emphasis"/>
        </w:rPr>
        <w:t>Pidana</w:t>
      </w:r>
      <w:proofErr w:type="spellEnd"/>
      <w:r>
        <w:rPr>
          <w:rStyle w:val="Emphasis"/>
        </w:rPr>
        <w:t xml:space="preserve"> I</w:t>
      </w:r>
      <w:r>
        <w:t xml:space="preserve"> (Jakarta: Sinar </w:t>
      </w:r>
      <w:proofErr w:type="spellStart"/>
      <w:r>
        <w:t>Grafika</w:t>
      </w:r>
      <w:proofErr w:type="spellEnd"/>
      <w:r>
        <w:t xml:space="preserve">, 2010), </w:t>
      </w:r>
      <w:proofErr w:type="spellStart"/>
      <w:r>
        <w:t>hlm</w:t>
      </w:r>
      <w:proofErr w:type="spellEnd"/>
      <w:r>
        <w:t>. 189.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12E1" w14:textId="575D915C" w:rsidR="00AE2652" w:rsidRDefault="00AE2652">
    <w:pPr>
      <w:pStyle w:val="Header"/>
    </w:pPr>
    <w:r>
      <w:rPr>
        <w:noProof/>
      </w:rPr>
      <w:pict w14:anchorId="7DC12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6"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760AFFC1">
        <v:shape id="WordPictureWatermark83443763"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1F029769">
        <v:shape id="WordPictureWatermark83443760"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41775A35">
        <v:shape id="WordPictureWatermark83443757"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1ACC6C89">
        <v:shape id="WordPictureWatermark83443754"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2F6C8FF9">
        <v:shape id="WordPictureWatermark83443751"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C5E43" w14:textId="4B192A3C" w:rsidR="00367C0A" w:rsidRDefault="00AE2652">
    <w:pPr>
      <w:pStyle w:val="Header"/>
      <w:jc w:val="right"/>
    </w:pPr>
    <w:r>
      <w:rPr>
        <w:noProof/>
      </w:rPr>
      <w:pict w14:anchorId="3A4627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7"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02A3A">
      <w:fldChar w:fldCharType="begin"/>
    </w:r>
    <w:r w:rsidR="00902A3A">
      <w:instrText xml:space="preserve"> PAGE </w:instrText>
    </w:r>
    <w:r w:rsidR="00902A3A">
      <w:fldChar w:fldCharType="separate"/>
    </w:r>
    <w:r w:rsidR="00902A3A">
      <w:t>56</w:t>
    </w:r>
    <w:r w:rsidR="00902A3A">
      <w:fldChar w:fldCharType="end"/>
    </w:r>
  </w:p>
  <w:p w14:paraId="6E68E8AF" w14:textId="77777777" w:rsidR="00367C0A" w:rsidRDefault="00367C0A">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7C35" w14:textId="07364728" w:rsidR="00367C0A" w:rsidRDefault="00AE2652">
    <w:pPr>
      <w:pStyle w:val="Header"/>
    </w:pPr>
    <w:r>
      <w:rPr>
        <w:noProof/>
      </w:rPr>
      <w:pict w14:anchorId="5A08F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5"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12655400"/>
    <w:multiLevelType w:val="multilevel"/>
    <w:tmpl w:val="B13A755C"/>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555067"/>
    <w:multiLevelType w:val="multilevel"/>
    <w:tmpl w:val="74BA75F0"/>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6464B1"/>
    <w:multiLevelType w:val="multilevel"/>
    <w:tmpl w:val="7162283E"/>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BD35C2"/>
    <w:multiLevelType w:val="multilevel"/>
    <w:tmpl w:val="30940D0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7AA3965"/>
    <w:multiLevelType w:val="hybridMultilevel"/>
    <w:tmpl w:val="17F224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901953"/>
    <w:multiLevelType w:val="multilevel"/>
    <w:tmpl w:val="639CE8D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A04AA8"/>
    <w:multiLevelType w:val="hybridMultilevel"/>
    <w:tmpl w:val="39689796"/>
    <w:lvl w:ilvl="0" w:tplc="0409000F">
      <w:start w:val="1"/>
      <w:numFmt w:val="decimal"/>
      <w:lvlText w:val="%1."/>
      <w:lvlJc w:val="left"/>
      <w:pPr>
        <w:ind w:left="720" w:hanging="360"/>
      </w:pPr>
    </w:lvl>
    <w:lvl w:ilvl="1" w:tplc="ECB69CC4">
      <w:start w:val="3"/>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9C40ED"/>
    <w:multiLevelType w:val="multilevel"/>
    <w:tmpl w:val="F9AE2844"/>
    <w:lvl w:ilvl="0">
      <w:start w:val="1"/>
      <w:numFmt w:val="decimal"/>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F526F59"/>
    <w:multiLevelType w:val="multilevel"/>
    <w:tmpl w:val="1346A28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654F64"/>
    <w:multiLevelType w:val="multilevel"/>
    <w:tmpl w:val="FBCED642"/>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EC825FD"/>
    <w:multiLevelType w:val="hybridMultilevel"/>
    <w:tmpl w:val="4552D68C"/>
    <w:lvl w:ilvl="0" w:tplc="DA2EA9C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628976">
    <w:abstractNumId w:val="4"/>
  </w:num>
  <w:num w:numId="2" w16cid:durableId="1820880013">
    <w:abstractNumId w:val="10"/>
  </w:num>
  <w:num w:numId="3" w16cid:durableId="903568232">
    <w:abstractNumId w:val="3"/>
  </w:num>
  <w:num w:numId="4" w16cid:durableId="1382052650">
    <w:abstractNumId w:val="2"/>
  </w:num>
  <w:num w:numId="5" w16cid:durableId="531921232">
    <w:abstractNumId w:val="9"/>
  </w:num>
  <w:num w:numId="6" w16cid:durableId="1535338528">
    <w:abstractNumId w:val="6"/>
  </w:num>
  <w:num w:numId="7" w16cid:durableId="203373519">
    <w:abstractNumId w:val="1"/>
  </w:num>
  <w:num w:numId="8" w16cid:durableId="812063931">
    <w:abstractNumId w:val="8"/>
  </w:num>
  <w:num w:numId="9" w16cid:durableId="1253048736">
    <w:abstractNumId w:val="7"/>
  </w:num>
  <w:num w:numId="10" w16cid:durableId="2001495376">
    <w:abstractNumId w:val="11"/>
  </w:num>
  <w:num w:numId="11" w16cid:durableId="423261111">
    <w:abstractNumId w:val="5"/>
  </w:num>
  <w:num w:numId="12" w16cid:durableId="184932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0A"/>
    <w:rsid w:val="00027B11"/>
    <w:rsid w:val="000432AC"/>
    <w:rsid w:val="000613F4"/>
    <w:rsid w:val="001E585A"/>
    <w:rsid w:val="00274ED5"/>
    <w:rsid w:val="00293B2A"/>
    <w:rsid w:val="002F530E"/>
    <w:rsid w:val="00367C0A"/>
    <w:rsid w:val="003B2548"/>
    <w:rsid w:val="004402A7"/>
    <w:rsid w:val="004A3A92"/>
    <w:rsid w:val="00510A3A"/>
    <w:rsid w:val="00675B06"/>
    <w:rsid w:val="00682B95"/>
    <w:rsid w:val="006A44BC"/>
    <w:rsid w:val="006C4DC8"/>
    <w:rsid w:val="00720B90"/>
    <w:rsid w:val="007E08C3"/>
    <w:rsid w:val="00867DDB"/>
    <w:rsid w:val="00894FB5"/>
    <w:rsid w:val="008E4C78"/>
    <w:rsid w:val="00902A3A"/>
    <w:rsid w:val="00906E26"/>
    <w:rsid w:val="00AC5D8B"/>
    <w:rsid w:val="00AE2652"/>
    <w:rsid w:val="00B0699D"/>
    <w:rsid w:val="00D62793"/>
    <w:rsid w:val="00DB2FF2"/>
    <w:rsid w:val="00DB5714"/>
    <w:rsid w:val="00E0110D"/>
    <w:rsid w:val="00E5099C"/>
    <w:rsid w:val="00E6760D"/>
    <w:rsid w:val="00E85A9A"/>
    <w:rsid w:val="00EE3F8F"/>
    <w:rsid w:val="00EE5EDA"/>
    <w:rsid w:val="00FB15CF"/>
    <w:rsid w:val="00FE55F4"/>
    <w:rsid w:val="00FF20C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785EF"/>
  <w15:docId w15:val="{F0168F42-8B6C-42C1-B46E-93D6F112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before="240" w:after="60"/>
      <w:outlineLvl w:val="2"/>
    </w:pPr>
    <w:rPr>
      <w:rFonts w:ascii="Cambria" w:hAnsi="Cambria" w:cs="Cambria"/>
      <w:b/>
      <w:bCs/>
      <w:sz w:val="26"/>
      <w:szCs w:val="26"/>
    </w:rPr>
  </w:style>
  <w:style w:type="paragraph" w:styleId="Heading4">
    <w:name w:val="heading 4"/>
    <w:basedOn w:val="Normal"/>
    <w:next w:val="Normal"/>
    <w:uiPriority w:val="9"/>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z0">
    <w:name w:val="WW8Num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z0">
    <w:name w:val="WW8Num4z0"/>
    <w:qFormat/>
    <w:rPr>
      <w:rFonts w:ascii="Times New Roman" w:hAnsi="Times New Roman" w:cs="Times New Roman"/>
      <w:color w:val="0D0D0D"/>
      <w:sz w:val="24"/>
      <w:szCs w:val="24"/>
    </w:rPr>
  </w:style>
  <w:style w:type="character" w:customStyle="1" w:styleId="WW8Num4z1">
    <w:name w:val="WW8Num4z1"/>
    <w:qFormat/>
    <w:rPr>
      <w:rFonts w:cs="Times New Roman"/>
    </w:rPr>
  </w:style>
  <w:style w:type="character" w:customStyle="1" w:styleId="WW8Num5z0">
    <w:name w:val="WW8Num5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8z0">
    <w:name w:val="WW8Num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9z0">
    <w:name w:val="WW8Num9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3z0">
    <w:name w:val="WW8Num1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4z0">
    <w:name w:val="WW8Num1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5z0">
    <w:name w:val="WW8Num1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6z0">
    <w:name w:val="WW8Num16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7z0">
    <w:name w:val="WW8Num1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8z0">
    <w:name w:val="WW8Num1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0z0">
    <w:name w:val="WW8Num2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1z0">
    <w:name w:val="WW8Num21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22z0">
    <w:name w:val="WW8Num2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4z0">
    <w:name w:val="WW8Num2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5z0">
    <w:name w:val="WW8Num2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6z0">
    <w:name w:val="WW8Num2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7z0">
    <w:name w:val="WW8Num2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8z0">
    <w:name w:val="WW8Num2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9z0">
    <w:name w:val="WW8Num2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0z0">
    <w:name w:val="WW8Num3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1z0">
    <w:name w:val="WW8Num31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32z0">
    <w:name w:val="WW8Num32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3z0">
    <w:name w:val="WW8Num3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5z0">
    <w:name w:val="WW8Num3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6z0">
    <w:name w:val="WW8Num3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7z0">
    <w:name w:val="WW8Num37z0"/>
    <w:qFormat/>
    <w:rPr>
      <w:rFonts w:cs="Times New Roman"/>
    </w:rPr>
  </w:style>
  <w:style w:type="character" w:customStyle="1" w:styleId="WW8Num37z1">
    <w:name w:val="WW8Num37z1"/>
    <w:qFormat/>
    <w:rPr>
      <w:rFonts w:cs="Times New Roman"/>
    </w:rPr>
  </w:style>
  <w:style w:type="character" w:customStyle="1" w:styleId="WW8Num39z0">
    <w:name w:val="WW8Num3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0z0">
    <w:name w:val="WW8Num40z0"/>
    <w:qFormat/>
    <w:rPr>
      <w:rFonts w:ascii="Wingdings" w:hAnsi="Wingdings" w:cs="Wingdings"/>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1z0">
    <w:name w:val="WW8Num4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4z0">
    <w:name w:val="WW8Num4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5z0">
    <w:name w:val="WW8Num4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7z0">
    <w:name w:val="WW8Num4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8z0">
    <w:name w:val="WW8Num48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9z0">
    <w:name w:val="WW8Num4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0z0">
    <w:name w:val="WW8Num50z0"/>
    <w:qFormat/>
    <w:rPr>
      <w:b w:val="0"/>
      <w:bCs w:val="0"/>
    </w:rPr>
  </w:style>
  <w:style w:type="character" w:customStyle="1" w:styleId="WW8Num51z0">
    <w:name w:val="WW8Num5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2z0">
    <w:name w:val="WW8Num5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3z0">
    <w:name w:val="WW8Num5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4z0">
    <w:name w:val="WW8Num5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5z0">
    <w:name w:val="WW8Num5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6z0">
    <w:name w:val="WW8Num5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rFonts w:ascii="Cambria" w:eastAsia="Times New Roman" w:hAnsi="Cambria" w:cs="Times New Roman"/>
      <w:b/>
      <w:bCs/>
      <w:sz w:val="26"/>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uiPriority w:val="22"/>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uiPriority w:val="20"/>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aliases w:val="Body of text"/>
    <w:basedOn w:val="Normal"/>
    <w:uiPriority w:val="34"/>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uiPriority w:val="99"/>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33381">
      <w:bodyDiv w:val="1"/>
      <w:marLeft w:val="0"/>
      <w:marRight w:val="0"/>
      <w:marTop w:val="0"/>
      <w:marBottom w:val="0"/>
      <w:divBdr>
        <w:top w:val="none" w:sz="0" w:space="0" w:color="auto"/>
        <w:left w:val="none" w:sz="0" w:space="0" w:color="auto"/>
        <w:bottom w:val="none" w:sz="0" w:space="0" w:color="auto"/>
        <w:right w:val="none" w:sz="0" w:space="0" w:color="auto"/>
      </w:divBdr>
    </w:div>
    <w:div w:id="287974350">
      <w:bodyDiv w:val="1"/>
      <w:marLeft w:val="0"/>
      <w:marRight w:val="0"/>
      <w:marTop w:val="0"/>
      <w:marBottom w:val="0"/>
      <w:divBdr>
        <w:top w:val="none" w:sz="0" w:space="0" w:color="auto"/>
        <w:left w:val="none" w:sz="0" w:space="0" w:color="auto"/>
        <w:bottom w:val="none" w:sz="0" w:space="0" w:color="auto"/>
        <w:right w:val="none" w:sz="0" w:space="0" w:color="auto"/>
      </w:divBdr>
    </w:div>
    <w:div w:id="848562722">
      <w:bodyDiv w:val="1"/>
      <w:marLeft w:val="0"/>
      <w:marRight w:val="0"/>
      <w:marTop w:val="0"/>
      <w:marBottom w:val="0"/>
      <w:divBdr>
        <w:top w:val="none" w:sz="0" w:space="0" w:color="auto"/>
        <w:left w:val="none" w:sz="0" w:space="0" w:color="auto"/>
        <w:bottom w:val="none" w:sz="0" w:space="0" w:color="auto"/>
        <w:right w:val="none" w:sz="0" w:space="0" w:color="auto"/>
      </w:divBdr>
    </w:div>
    <w:div w:id="1646162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43</Pages>
  <Words>8163</Words>
  <Characters>46530</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2026-09-10T10:38:00Z</cp:lastPrinted>
  <dcterms:created xsi:type="dcterms:W3CDTF">2026-09-17T04:00:00Z</dcterms:created>
  <dcterms:modified xsi:type="dcterms:W3CDTF">2026-09-17T04:00:00Z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