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3EE" w:rsidRPr="007B22CE" w:rsidRDefault="006E23EE" w:rsidP="006E23EE">
      <w:pPr>
        <w:spacing w:before="100" w:beforeAutospacing="1" w:after="100" w:afterAutospacing="1" w:line="240" w:lineRule="auto"/>
        <w:jc w:val="center"/>
        <w:outlineLvl w:val="2"/>
        <w:rPr>
          <w:rFonts w:ascii="Times New Roman" w:eastAsia="Times New Roman" w:hAnsi="Times New Roman" w:cs="Times New Roman"/>
          <w:b/>
          <w:bCs/>
          <w:noProof/>
          <w:kern w:val="0"/>
          <w:sz w:val="27"/>
          <w:szCs w:val="27"/>
          <w:lang w:val="id-ID"/>
          <w14:ligatures w14:val="none"/>
        </w:rPr>
      </w:pPr>
      <w:r w:rsidRPr="007B22CE">
        <w:rPr>
          <w:rFonts w:ascii="Times New Roman" w:eastAsia="Times New Roman" w:hAnsi="Times New Roman" w:cs="Times New Roman"/>
          <w:b/>
          <w:bCs/>
          <w:noProof/>
          <w:kern w:val="0"/>
          <w:sz w:val="27"/>
          <w:szCs w:val="27"/>
          <w:lang w:val="id-ID"/>
          <w14:ligatures w14:val="none"/>
        </w:rPr>
        <w:t>BAB IV</w:t>
      </w:r>
    </w:p>
    <w:p w:rsidR="006E23EE" w:rsidRDefault="006E23EE" w:rsidP="006E23EE">
      <w:pPr>
        <w:spacing w:before="100" w:beforeAutospacing="1" w:after="100" w:afterAutospacing="1" w:line="240" w:lineRule="auto"/>
        <w:jc w:val="center"/>
        <w:rPr>
          <w:rFonts w:ascii="Times New Roman" w:eastAsia="Times New Roman" w:hAnsi="Times New Roman" w:cs="Times New Roman"/>
          <w:noProof/>
          <w:kern w:val="0"/>
          <w:lang w:val="id-ID"/>
          <w14:ligatures w14:val="none"/>
        </w:rPr>
      </w:pPr>
      <w:r w:rsidRPr="007B22CE">
        <w:rPr>
          <w:rFonts w:ascii="Times New Roman" w:eastAsia="Times New Roman" w:hAnsi="Times New Roman" w:cs="Times New Roman"/>
          <w:b/>
          <w:bCs/>
          <w:noProof/>
          <w:kern w:val="0"/>
          <w:lang w:val="id-ID"/>
          <w14:ligatures w14:val="none"/>
        </w:rPr>
        <w:t>HASIL PENELITIAN DAN PEMBAHASAN</w:t>
      </w:r>
    </w:p>
    <w:p w:rsidR="006E23EE" w:rsidRDefault="006E23EE" w:rsidP="006E23EE">
      <w:pPr>
        <w:spacing w:before="100" w:beforeAutospacing="1" w:after="100" w:afterAutospacing="1" w:line="240" w:lineRule="auto"/>
        <w:rPr>
          <w:rFonts w:ascii="Times New Roman" w:eastAsia="Times New Roman" w:hAnsi="Times New Roman" w:cs="Times New Roman"/>
          <w:b/>
          <w:bCs/>
          <w:noProof/>
          <w:kern w:val="0"/>
          <w:sz w:val="27"/>
          <w:szCs w:val="27"/>
          <w14:ligatures w14:val="none"/>
        </w:rPr>
      </w:pPr>
      <w:r>
        <w:rPr>
          <w:rFonts w:ascii="Times New Roman" w:eastAsia="Times New Roman" w:hAnsi="Times New Roman" w:cs="Times New Roman"/>
          <w:b/>
          <w:bCs/>
          <w:noProof/>
          <w:kern w:val="0"/>
          <w:sz w:val="27"/>
          <w:szCs w:val="27"/>
          <w14:ligatures w14:val="none"/>
        </w:rPr>
        <w:t xml:space="preserve">4.1 </w:t>
      </w:r>
      <w:r w:rsidRPr="00501DFE">
        <w:rPr>
          <w:rFonts w:ascii="Times New Roman" w:eastAsia="Times New Roman" w:hAnsi="Times New Roman" w:cs="Times New Roman"/>
          <w:b/>
          <w:bCs/>
          <w:noProof/>
          <w:kern w:val="0"/>
          <w:sz w:val="27"/>
          <w:szCs w:val="27"/>
          <w14:ligatures w14:val="none"/>
        </w:rPr>
        <w:t>Gambaran Umum Satuan Brimob Polda Sumatera Utara</w:t>
      </w:r>
    </w:p>
    <w:p w:rsidR="006E23EE" w:rsidRDefault="006E23EE" w:rsidP="006E23EE">
      <w:pPr>
        <w:spacing w:after="0" w:line="480" w:lineRule="auto"/>
        <w:ind w:firstLine="720"/>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Satuan Brigade Mobil (Brimob) merupakan bagian dari Kepolisian Negara Republik Indonesia (Polri) yang memiliki tugas dan fungsi khusus dalam menangani situasi yang bersifat kritis, termasuk kejahatan bersenjata, aksi terorisme, kerusuhan massa, dan pengamanan objek vital. Di wilayah Sumatera Utara, keberadaan Satuan Brimob memainkan peran yang sangat vital dalam menjaga stabilitas keamanan, terutama di Kota Medan yang merupakan salah satu pusat aktivitas ekonomi dan sosial yang cukup padat.</w:t>
      </w:r>
      <w:r>
        <w:rPr>
          <w:rFonts w:ascii="Times New Roman" w:eastAsia="Times New Roman" w:hAnsi="Times New Roman" w:cs="Times New Roman"/>
          <w:noProof/>
          <w:kern w:val="0"/>
          <w14:ligatures w14:val="none"/>
        </w:rPr>
        <w:t xml:space="preserve"> </w:t>
      </w:r>
      <w:r w:rsidRPr="00501DFE">
        <w:rPr>
          <w:rFonts w:ascii="Times New Roman" w:eastAsia="Times New Roman" w:hAnsi="Times New Roman" w:cs="Times New Roman"/>
          <w:noProof/>
          <w:kern w:val="0"/>
          <w14:ligatures w14:val="none"/>
        </w:rPr>
        <w:t>Secara struktural, Brimob berada langsung di bawah komando Kapolda dan memiliki unit-unit taktis yang tersebar di beberapa wilayah. Markas Komando Brimob Polda Sumatera Utara yang berlokasi di Jalan Bilal, Kota Medan, menjadi pusat kendali dari berbagai operasi taktis yang melibatkan ancaman bersenjata. Unit ini terdiri dari beberapa Detasemen, di antaranya adalah Detasemen Gegana dan Detasemen Pelopor yang dilatih secara khusus untuk menghadapi berbagai bentuk ancaman tingkat tinggi</w:t>
      </w:r>
    </w:p>
    <w:p w:rsidR="006E23EE" w:rsidRDefault="006E23EE" w:rsidP="006E23EE">
      <w:pPr>
        <w:spacing w:after="0" w:line="480" w:lineRule="auto"/>
        <w:ind w:firstLine="720"/>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Berdasarkan hasil observasi dan wawancara yang dilakukan dengan beberapa personel aktif di Satuan Brimob Polda Sumut, diketahui bahwa satuan ini menjalankan tugasnya berdasarkan Peraturan Kapolri No. 1 Tahun 2019 serta Undang-Undang No. 2 Tahun 2002 tentang Kepolisian Negara Republik Indonesia. Setiap personel dilengkapi dengan senjata api standar dan menjalani pelatihan intensif mengenai prosedur penggunaan kekuatan, termasuk penggunaan senjata api secara proporsional dan bertanggung jawab.</w:t>
      </w:r>
    </w:p>
    <w:p w:rsidR="006E23EE" w:rsidRDefault="006E23EE" w:rsidP="006E23EE">
      <w:pPr>
        <w:spacing w:after="0" w:line="480" w:lineRule="auto"/>
        <w:ind w:firstLine="720"/>
        <w:jc w:val="both"/>
        <w:rPr>
          <w:rFonts w:ascii="MS Mincho" w:eastAsia="MS Mincho" w:hAnsi="MS Mincho" w:cs="MS Mincho"/>
          <w:noProof/>
          <w:kern w:val="0"/>
          <w14:ligatures w14:val="none"/>
        </w:rPr>
      </w:pPr>
      <w:r w:rsidRPr="00501DFE">
        <w:rPr>
          <w:rFonts w:ascii="Times New Roman" w:eastAsia="Times New Roman" w:hAnsi="Times New Roman" w:cs="Times New Roman"/>
          <w:noProof/>
          <w:kern w:val="0"/>
          <w14:ligatures w14:val="none"/>
        </w:rPr>
        <w:lastRenderedPageBreak/>
        <w:t>Dalam praktik di lapangan, Brimob kerap terlibat dalam operasi penanggulangan kejahatan bersenjata seperti perampokan, penculikan, dan aksi penyanderaan. Satuan ini biasanya bergerak atas perintah langsung dari pimpinan kepolisian wilayah setelah melalui pertimbangan ancaman berdasarkan laporan intelijen. Dalam beberapa kasus, Brimob juga berperan sebagai kekuatan cadangan untuk mendukung satuan kepolisian umum dalam operasi penertiban kawasan rawan</w:t>
      </w:r>
    </w:p>
    <w:p w:rsidR="006E23EE" w:rsidRDefault="006E23EE" w:rsidP="006E23EE">
      <w:pPr>
        <w:spacing w:after="0" w:line="480" w:lineRule="auto"/>
        <w:ind w:firstLine="720"/>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Kepala Satuan Brimob Polda Sumatera Utara dalam wawancara menyampaikan bahwa tantangan utama dalam pelaksanaan tugas adalah menjaga keseimbangan antara tindakan tegas di lapangan dengan kepatuhan terhadap prosedur hukum dan prinsip hak asasi manusia. Setiap tindakan penggunaan senjata api harus dilaporkan secara tertulis, dan apabila menimbulkan korban, akan dilakukan investigasi internal guna menilai apakah tindakan tersebut sudah sesuai dengan prosedur atau tidak.</w:t>
      </w:r>
    </w:p>
    <w:p w:rsidR="006E23EE" w:rsidRDefault="006E23EE" w:rsidP="006E23EE">
      <w:pPr>
        <w:spacing w:after="0" w:line="480" w:lineRule="auto"/>
        <w:ind w:firstLine="720"/>
        <w:jc w:val="both"/>
        <w:rPr>
          <w:rFonts w:ascii="Times New Roman" w:eastAsia="Times New Roman" w:hAnsi="Times New Roman" w:cs="Times New Roman"/>
          <w:noProof/>
          <w:kern w:val="0"/>
          <w14:ligatures w14:val="none"/>
        </w:rPr>
      </w:pPr>
    </w:p>
    <w:p w:rsidR="006E23EE" w:rsidRDefault="006E23EE" w:rsidP="006E23EE">
      <w:pPr>
        <w:spacing w:after="0" w:line="480" w:lineRule="auto"/>
        <w:jc w:val="both"/>
        <w:rPr>
          <w:rFonts w:ascii="Times New Roman" w:eastAsia="Times New Roman" w:hAnsi="Times New Roman" w:cs="Times New Roman"/>
          <w:b/>
          <w:bCs/>
          <w:noProof/>
          <w:kern w:val="0"/>
          <w14:ligatures w14:val="none"/>
        </w:rPr>
      </w:pPr>
      <w:r w:rsidRPr="00501DFE">
        <w:rPr>
          <w:rFonts w:ascii="Times New Roman" w:eastAsia="Times New Roman" w:hAnsi="Times New Roman" w:cs="Times New Roman"/>
          <w:b/>
          <w:bCs/>
          <w:noProof/>
          <w:kern w:val="0"/>
          <w14:ligatures w14:val="none"/>
        </w:rPr>
        <w:t>4.2 Analisis Kesesuaian Penggunaan Senjata Api oleh Brimob dengan Peraturan Perundang-undangan</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Penggunaan senjata api oleh anggota kepolisian, termasuk Brimob, merupakan tindakan yang sangat sensitif karena melibatkan hak hidup manusia. Oleh karena itu, seluruh tindakan tersebut harus mengacu pada aturan hukum yang berlaku, baik secara nasional maupun internasional. Dalam konteks Indonesia, terdapat beberapa regulasi yang menjadi dasar hukum utama, antara lain:</w:t>
      </w:r>
    </w:p>
    <w:p w:rsidR="006E23EE" w:rsidRPr="00501DFE" w:rsidRDefault="006E23EE" w:rsidP="006E23EE">
      <w:pPr>
        <w:numPr>
          <w:ilvl w:val="0"/>
          <w:numId w:val="24"/>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lastRenderedPageBreak/>
        <w:t>Undang-Undang Nomor 2 Tahun 2002 tentang Kepolisian Negara Republik Indonesia, yang memberikan kewenangan kepada polisi untuk menggunakan kekuatan, termasuk senjata api, dalam situasi tertentu</w:t>
      </w:r>
    </w:p>
    <w:p w:rsidR="006E23EE" w:rsidRPr="00501DFE" w:rsidRDefault="006E23EE" w:rsidP="006E23EE">
      <w:pPr>
        <w:numPr>
          <w:ilvl w:val="0"/>
          <w:numId w:val="24"/>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Peraturan Kapolri Nomor 1 Tahun 2019 tentang Penggunaan Kekuatan dalam Tindakan Kepolisian, yang mengatur secara teknis mengenai tahapan penggunaan kekuatan secara bertingkat (use of force)</w:t>
      </w:r>
    </w:p>
    <w:p w:rsidR="006E23EE" w:rsidRPr="00501DFE" w:rsidRDefault="006E23EE" w:rsidP="006E23EE">
      <w:pPr>
        <w:numPr>
          <w:ilvl w:val="0"/>
          <w:numId w:val="24"/>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Peraturan internal Brimob dan prosedur tetap operasional, yang bersifat rahasia namun dirancang untuk memastikan disiplin dan akuntabilitas dalam penggunaan senjata api</w:t>
      </w:r>
      <w:r>
        <w:rPr>
          <w:rFonts w:ascii="MS Mincho" w:eastAsia="MS Mincho" w:hAnsi="MS Mincho" w:cs="MS Mincho" w:hint="eastAsia"/>
          <w:noProof/>
          <w:kern w:val="0"/>
          <w14:ligatures w14:val="none"/>
        </w:rPr>
        <w:t>.</w:t>
      </w:r>
    </w:p>
    <w:p w:rsidR="006E23EE" w:rsidRPr="00501DFE" w:rsidRDefault="006E23EE" w:rsidP="006E23EE">
      <w:pPr>
        <w:spacing w:after="0" w:line="480" w:lineRule="auto"/>
        <w:ind w:left="720"/>
        <w:jc w:val="both"/>
        <w:rPr>
          <w:rFonts w:ascii="Times New Roman" w:eastAsia="Times New Roman" w:hAnsi="Times New Roman" w:cs="Times New Roman"/>
          <w:noProof/>
          <w:kern w:val="0"/>
          <w14:ligatures w14:val="none"/>
        </w:rPr>
      </w:pPr>
    </w:p>
    <w:p w:rsidR="006E23EE" w:rsidRPr="00501DFE" w:rsidRDefault="006E23EE" w:rsidP="006E23EE">
      <w:pPr>
        <w:spacing w:after="0" w:line="480" w:lineRule="auto"/>
        <w:jc w:val="both"/>
        <w:rPr>
          <w:rFonts w:ascii="Times New Roman" w:eastAsia="Times New Roman" w:hAnsi="Times New Roman" w:cs="Times New Roman"/>
          <w:b/>
          <w:bCs/>
          <w:noProof/>
          <w:kern w:val="0"/>
          <w14:ligatures w14:val="none"/>
        </w:rPr>
      </w:pPr>
      <w:r w:rsidRPr="00501DFE">
        <w:rPr>
          <w:rFonts w:ascii="Times New Roman" w:eastAsia="Times New Roman" w:hAnsi="Times New Roman" w:cs="Times New Roman"/>
          <w:b/>
          <w:bCs/>
          <w:noProof/>
          <w:kern w:val="0"/>
          <w14:ligatures w14:val="none"/>
        </w:rPr>
        <w:t>4.2.1 Prinsip Hukum dalam Penggunaan Senjata Api</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Terdapat beberapa prinsip universal yang harus dijadikan acuan oleh aparat kepolisian dalam menggunakan kekuatan, yaitu:</w:t>
      </w:r>
    </w:p>
    <w:p w:rsidR="006E23EE" w:rsidRPr="00501DFE" w:rsidRDefault="006E23EE" w:rsidP="006E23EE">
      <w:pPr>
        <w:numPr>
          <w:ilvl w:val="0"/>
          <w:numId w:val="25"/>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Prinsip legalitas (lawful): tindakan harus didasarkan pada hukum positif;</w:t>
      </w:r>
    </w:p>
    <w:p w:rsidR="006E23EE" w:rsidRPr="00501DFE" w:rsidRDefault="006E23EE" w:rsidP="006E23EE">
      <w:pPr>
        <w:numPr>
          <w:ilvl w:val="0"/>
          <w:numId w:val="25"/>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Prinsip nesesitas (necessary): tindakan hanya dilakukan jika sangat diperlukan;</w:t>
      </w:r>
    </w:p>
    <w:p w:rsidR="006E23EE" w:rsidRPr="00501DFE" w:rsidRDefault="006E23EE" w:rsidP="006E23EE">
      <w:pPr>
        <w:numPr>
          <w:ilvl w:val="0"/>
          <w:numId w:val="25"/>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Prinsip proporsionalitas (proportional): tingkat kekuatan yang digunakan harus sebanding dengan ancaman;</w:t>
      </w:r>
    </w:p>
    <w:p w:rsidR="006E23EE" w:rsidRPr="00501DFE" w:rsidRDefault="006E23EE" w:rsidP="006E23EE">
      <w:pPr>
        <w:numPr>
          <w:ilvl w:val="0"/>
          <w:numId w:val="25"/>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Prinsip akuntabilitas (accountability): tindakan harus dapat dipertanggungjawabkan secara hukum</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 xml:space="preserve">Dari hasil wawancara dengan perwira Brimob, diketahui bahwa penggunaan senjata api hanya diperbolehkan dalam kondisi mendesak, seperti saat menghadapi pelaku kejahatan yang membahayakan jiwa petugas atau masyarakat. </w:t>
      </w:r>
      <w:r w:rsidRPr="00501DFE">
        <w:rPr>
          <w:rFonts w:ascii="Times New Roman" w:eastAsia="Times New Roman" w:hAnsi="Times New Roman" w:cs="Times New Roman"/>
          <w:noProof/>
          <w:kern w:val="0"/>
          <w14:ligatures w14:val="none"/>
        </w:rPr>
        <w:lastRenderedPageBreak/>
        <w:t>Pihak Brimob mengklaim bahwa setiap personel sudah dibekali dengan pelatihan tentang tahapan penggunaan kekuatan dan prinsip-prinsip hukum yang berlaku.</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Namun, di sisi lain, pengawasan terhadap implementasi di lapangan masih menghadapi beberapa kendala. Salah satu informan menyampaikan bahwa tekanan situasi di lapangan sering kali membuat aparat harus mengambil keputusan dalam waktu sangat singkat, yang terkadang mengakibatkan pelanggaran prosedur secara tidak sengaja</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p>
    <w:p w:rsidR="006E23EE" w:rsidRPr="00501DFE" w:rsidRDefault="006E23EE" w:rsidP="006E23EE">
      <w:pPr>
        <w:spacing w:after="0" w:line="480" w:lineRule="auto"/>
        <w:jc w:val="both"/>
        <w:rPr>
          <w:rFonts w:ascii="Times New Roman" w:eastAsia="Times New Roman" w:hAnsi="Times New Roman" w:cs="Times New Roman"/>
          <w:b/>
          <w:bCs/>
          <w:noProof/>
          <w:kern w:val="0"/>
          <w14:ligatures w14:val="none"/>
        </w:rPr>
      </w:pPr>
      <w:r w:rsidRPr="00501DFE">
        <w:rPr>
          <w:rFonts w:ascii="Times New Roman" w:eastAsia="Times New Roman" w:hAnsi="Times New Roman" w:cs="Times New Roman"/>
          <w:b/>
          <w:bCs/>
          <w:noProof/>
          <w:kern w:val="0"/>
          <w14:ligatures w14:val="none"/>
        </w:rPr>
        <w:t>4.2.2 Evaluasi terhadap Kasus-kasus Penggunaan Senjata Api</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Dari beberapa kasus yang terjadi di Kota Medan dalam tiga tahun terakhir, ditemukan dua insiden yang melibatkan penggunaan senjata api oleh Brimob:</w:t>
      </w:r>
    </w:p>
    <w:p w:rsidR="006E23EE" w:rsidRPr="00501DFE" w:rsidRDefault="006E23EE" w:rsidP="006E23EE">
      <w:pPr>
        <w:numPr>
          <w:ilvl w:val="0"/>
          <w:numId w:val="26"/>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Kasus A (2022): penembakan terhadap pelaku perampokan bersenjata di kawasan Marelan. Berdasarkan hasil investigasi internal, tindakan anggota Brimob dinyatakan sesuai prosedur karena pelaku membawa senjata api rakitan dan menembakkan peluru terlebih dahulu;</w:t>
      </w:r>
    </w:p>
    <w:p w:rsidR="006E23EE" w:rsidRPr="00501DFE" w:rsidRDefault="006E23EE" w:rsidP="006E23EE">
      <w:pPr>
        <w:numPr>
          <w:ilvl w:val="0"/>
          <w:numId w:val="26"/>
        </w:num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Kasus B (2023): seorang warga sipil tertembak dalam pengejaran pelaku pencurian. Kasus ini sempat memicu kritik publik dan akhirnya anggota Brimob yang terlibat diberikan sanksi administratif karena tidak memberikan peringatan terlebih dahulu sebelum melepaskan tembakan</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Dari dua kasus di atas, dapat disimpulkan bahwa meskipun secara umum Brimob berupaya mematuhi peraturan perundang-undangan, masih terdapat tantangan dalam pelaksanaan teknis di lapangan, terutama dalam hal penerapan prinsip kehati-hatian dan perlindungan terhadap hak sipil.</w:t>
      </w:r>
    </w:p>
    <w:p w:rsidR="006E23EE" w:rsidRPr="00501DFE" w:rsidRDefault="006E23EE" w:rsidP="006E23EE">
      <w:pPr>
        <w:spacing w:after="0" w:line="480" w:lineRule="auto"/>
        <w:jc w:val="both"/>
        <w:rPr>
          <w:rFonts w:ascii="Times New Roman" w:eastAsia="Times New Roman" w:hAnsi="Times New Roman" w:cs="Times New Roman"/>
          <w:b/>
          <w:bCs/>
          <w:noProof/>
          <w:kern w:val="0"/>
          <w14:ligatures w14:val="none"/>
        </w:rPr>
      </w:pPr>
      <w:r w:rsidRPr="00501DFE">
        <w:rPr>
          <w:rFonts w:ascii="Times New Roman" w:eastAsia="Times New Roman" w:hAnsi="Times New Roman" w:cs="Times New Roman"/>
          <w:b/>
          <w:bCs/>
          <w:noProof/>
          <w:kern w:val="0"/>
          <w14:ligatures w14:val="none"/>
        </w:rPr>
        <w:lastRenderedPageBreak/>
        <w:t>4.2.3 Kesesuaian terhadap Standar Internasional</w:t>
      </w:r>
    </w:p>
    <w:p w:rsidR="006E23EE" w:rsidRPr="00501DFE" w:rsidRDefault="006E23EE" w:rsidP="006E23EE">
      <w:pPr>
        <w:spacing w:after="0" w:line="480" w:lineRule="auto"/>
        <w:ind w:firstLine="720"/>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Standar internasional, khususnya Basic Principles on the Use of Force and Firearms by Law Enforcement Officials yang diadopsi oleh PBB pada tahun 1990, menyatakan bahwa penggunaan senjata api oleh aparat penegak hukum harus dilakukan hanya jika terdapat ancaman serius terhadap jiwa, dan penggunaan tersebut harus diminimalkan sejauh mungkin</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r w:rsidRPr="00501DFE">
        <w:rPr>
          <w:rFonts w:ascii="Times New Roman" w:eastAsia="Times New Roman" w:hAnsi="Times New Roman" w:cs="Times New Roman"/>
          <w:noProof/>
          <w:kern w:val="0"/>
          <w14:ligatures w14:val="none"/>
        </w:rPr>
        <w:t>Dalam konteks ini, Indonesia telah mengadopsi prinsip-prinsip tersebut melalui Perkap No. 1 Tahun 2019. Namun, implementasi di lapangan masih belum sepenuhnya mengadopsi pola pelaporan terbuka dan evaluasi publik yang transparan sebagaimana dianjurkan oleh prinsip internasional. Oleh karena itu, meskipun dari sisi regulasi Indonesia sudah cukup lengkap, masih diperlukan penguatan mekanisme pengawasan dan transparansi penggunaan senjata api oleh aparat</w:t>
      </w:r>
    </w:p>
    <w:p w:rsidR="006E23EE" w:rsidRPr="00501DFE" w:rsidRDefault="006E23EE" w:rsidP="006E23EE">
      <w:pPr>
        <w:spacing w:after="0" w:line="480" w:lineRule="auto"/>
        <w:jc w:val="both"/>
        <w:rPr>
          <w:rFonts w:ascii="Times New Roman" w:eastAsia="Times New Roman" w:hAnsi="Times New Roman" w:cs="Times New Roman"/>
          <w:noProof/>
          <w:kern w:val="0"/>
          <w14:ligatures w14:val="none"/>
        </w:rPr>
      </w:pPr>
    </w:p>
    <w:p w:rsidR="006E23EE" w:rsidRDefault="006E23EE" w:rsidP="006E23EE">
      <w:pPr>
        <w:rPr>
          <w:rFonts w:ascii="Times New Roman" w:eastAsia="Times New Roman" w:hAnsi="Times New Roman" w:cs="Times New Roman"/>
          <w:b/>
          <w:bCs/>
          <w:noProof/>
          <w:kern w:val="0"/>
          <w:sz w:val="27"/>
          <w:szCs w:val="27"/>
          <w14:ligatures w14:val="none"/>
        </w:rPr>
      </w:pPr>
      <w:r>
        <w:rPr>
          <w:rFonts w:ascii="Times New Roman" w:eastAsia="Times New Roman" w:hAnsi="Times New Roman" w:cs="Times New Roman"/>
          <w:b/>
          <w:bCs/>
          <w:noProof/>
          <w:kern w:val="0"/>
          <w:sz w:val="27"/>
          <w:szCs w:val="27"/>
          <w14:ligatures w14:val="none"/>
        </w:rPr>
        <w:br w:type="page"/>
      </w:r>
    </w:p>
    <w:p w:rsidR="006E23EE" w:rsidRDefault="006E23EE" w:rsidP="006E23EE">
      <w:pPr>
        <w:spacing w:before="100" w:beforeAutospacing="1" w:after="100" w:afterAutospacing="1" w:line="240" w:lineRule="auto"/>
        <w:outlineLvl w:val="2"/>
        <w:rPr>
          <w:rFonts w:ascii="Times New Roman" w:eastAsia="Times New Roman" w:hAnsi="Times New Roman" w:cs="Times New Roman"/>
          <w:b/>
          <w:bCs/>
          <w:noProof/>
          <w:kern w:val="0"/>
          <w:sz w:val="27"/>
          <w:szCs w:val="27"/>
          <w14:ligatures w14:val="none"/>
        </w:rPr>
      </w:pPr>
      <w:r>
        <w:rPr>
          <w:rFonts w:ascii="Times New Roman" w:eastAsia="Times New Roman" w:hAnsi="Times New Roman" w:cs="Times New Roman"/>
          <w:b/>
          <w:bCs/>
          <w:noProof/>
          <w:kern w:val="0"/>
          <w:sz w:val="27"/>
          <w:szCs w:val="27"/>
          <w14:ligatures w14:val="none"/>
        </w:rPr>
        <w:lastRenderedPageBreak/>
        <w:t xml:space="preserve">4.3 </w:t>
      </w:r>
      <w:r w:rsidRPr="00A71923">
        <w:rPr>
          <w:rFonts w:ascii="Times New Roman" w:eastAsia="Times New Roman" w:hAnsi="Times New Roman" w:cs="Times New Roman"/>
          <w:b/>
          <w:bCs/>
          <w:noProof/>
          <w:kern w:val="0"/>
          <w:sz w:val="27"/>
          <w:szCs w:val="27"/>
          <w14:ligatures w14:val="none"/>
        </w:rPr>
        <w:t>Prosedur Penggunaan Senjata Api oleh Brimob di Lapangan</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Penggunaan senjata api oleh satuan Brimob dalam menghadapi tindak pidana bersenjata merupakan tindakan hukum yang bersifat darurat, tetapi tetap harus tunduk pada prinsip-prinsip hukum dan HAM. Oleh karena itu, diperlukan prosedur baku yang menjadi landasan dalam pelaksanaan tugas-tugas Brimob di lapangan. Prosedur ini tidak hanya sebagai panduan teknis, tetapi juga sebagai bentuk pertanggungjawaban hukum bagi setiap personel Brimob dalam menjalankan fungsinya sebagai penegak hukum.</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noProof/>
          <w:kern w:val="0"/>
          <w14:ligatures w14:val="none"/>
        </w:rPr>
        <w:t xml:space="preserve">4.3.1 </w:t>
      </w:r>
      <w:r w:rsidRPr="00A71923">
        <w:rPr>
          <w:rFonts w:ascii="Times New Roman" w:eastAsia="Times New Roman" w:hAnsi="Times New Roman" w:cs="Times New Roman"/>
          <w:b/>
          <w:bCs/>
          <w:noProof/>
          <w:kern w:val="0"/>
          <w14:ligatures w14:val="none"/>
        </w:rPr>
        <w:t>Implementasi Use of Force dalam Standar Operasional Brimob</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Standar operasional prosedur (SOP) di lingkungan Kepolisian Negara Republik Indonesia, termasuk Brimob, mengacu pada prinsip penggunaan kekuatan secara bertahap (</w:t>
      </w:r>
      <w:r w:rsidRPr="00A71923">
        <w:rPr>
          <w:rFonts w:ascii="Times New Roman" w:eastAsia="Times New Roman" w:hAnsi="Times New Roman" w:cs="Times New Roman"/>
          <w:i/>
          <w:iCs/>
          <w:noProof/>
          <w:kern w:val="0"/>
          <w14:ligatures w14:val="none"/>
        </w:rPr>
        <w:t>use of force continuum</w:t>
      </w:r>
      <w:r w:rsidRPr="00A71923">
        <w:rPr>
          <w:rFonts w:ascii="Times New Roman" w:eastAsia="Times New Roman" w:hAnsi="Times New Roman" w:cs="Times New Roman"/>
          <w:noProof/>
          <w:kern w:val="0"/>
          <w14:ligatures w14:val="none"/>
        </w:rPr>
        <w:t>). Hal ini dimaksudkan agar setiap tindakan kekerasan, termasuk penggunaan senjata api, merupakan pilihan terakhir (ultimum remedium) dan tidak dilakukan secara sewenang-wenang. Dalam SOP tersebut, terdapat lima tingkat penggunaan kekuatan yang diadopsi dari prinsip internasional dan dimasukkan ke dalam Peraturan Kapolri No. 1 Tahun 2019, yaitu:</w:t>
      </w:r>
    </w:p>
    <w:p w:rsidR="006E23EE" w:rsidRPr="00A71923" w:rsidRDefault="006E23EE" w:rsidP="006E23EE">
      <w:pPr>
        <w:numPr>
          <w:ilvl w:val="0"/>
          <w:numId w:val="27"/>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Kehadiran fisik petugas (presence) – kehadiran aparat di tempat kejadian sebagai bentuk pencegahan dan pengendalian situasi.</w:t>
      </w:r>
    </w:p>
    <w:p w:rsidR="006E23EE" w:rsidRPr="00A71923" w:rsidRDefault="006E23EE" w:rsidP="006E23EE">
      <w:pPr>
        <w:numPr>
          <w:ilvl w:val="0"/>
          <w:numId w:val="27"/>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Perintah verbal (verbal command) – memberikan instruksi atau peringatan kepada pelaku.</w:t>
      </w:r>
    </w:p>
    <w:p w:rsidR="006E23EE" w:rsidRPr="00A71923" w:rsidRDefault="006E23EE" w:rsidP="006E23EE">
      <w:pPr>
        <w:numPr>
          <w:ilvl w:val="0"/>
          <w:numId w:val="27"/>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lastRenderedPageBreak/>
        <w:t>Pengendalian tangan kosong (soft and hard control) – tindakan fisik tanpa alat atau dengan kekuatan fisik yang terkendali.</w:t>
      </w:r>
    </w:p>
    <w:p w:rsidR="006E23EE" w:rsidRPr="00A71923" w:rsidRDefault="006E23EE" w:rsidP="006E23EE">
      <w:pPr>
        <w:numPr>
          <w:ilvl w:val="0"/>
          <w:numId w:val="27"/>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Penggunaan alat bantu kekuatan (intermediate weapons) – seperti tongkat, semprotan gas, atau peluru karet.</w:t>
      </w:r>
    </w:p>
    <w:p w:rsidR="006E23EE" w:rsidRPr="00A71923" w:rsidRDefault="006E23EE" w:rsidP="006E23EE">
      <w:pPr>
        <w:numPr>
          <w:ilvl w:val="0"/>
          <w:numId w:val="27"/>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Penggunaan kekuatan mematikan (deadly force) – penggunaan senjata api sebagai upaya terakhir</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Dalam praktiknya, Brimob diberi pelatihan untuk mengenali eskalasi ancaman di lapangan secara cepat. Salah satu perwira Brimob menyampaikan bahwa pengenalan ancaman bukan hanya dari jenis senjata yang dibawa pelaku, tetapi juga dari sikap, kondisi psikologis, dan respons terhadap peringatan petugas</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b/>
          <w:bCs/>
          <w:noProof/>
          <w:kern w:val="0"/>
          <w14:ligatures w14:val="none"/>
        </w:rPr>
        <w:t>4.3.2 Penilaian Ancaman dalam Situasi Nyata</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 xml:space="preserve">Penilaian terhadap tingkat ancaman merupakan bagian paling penting dalam menentukan perlu tidaknya senjata api digunakan. Petugas Brimob harus melakukan </w:t>
      </w:r>
      <w:r w:rsidRPr="00A71923">
        <w:rPr>
          <w:rFonts w:ascii="Times New Roman" w:eastAsia="Times New Roman" w:hAnsi="Times New Roman" w:cs="Times New Roman"/>
          <w:i/>
          <w:iCs/>
          <w:noProof/>
          <w:kern w:val="0"/>
          <w14:ligatures w14:val="none"/>
        </w:rPr>
        <w:t>threat assessment</w:t>
      </w:r>
      <w:r w:rsidRPr="00A71923">
        <w:rPr>
          <w:rFonts w:ascii="Times New Roman" w:eastAsia="Times New Roman" w:hAnsi="Times New Roman" w:cs="Times New Roman"/>
          <w:noProof/>
          <w:kern w:val="0"/>
          <w14:ligatures w14:val="none"/>
        </w:rPr>
        <w:t xml:space="preserve"> dalam waktu singkat dengan mempertimbangkan faktor-faktor seperti:</w:t>
      </w:r>
    </w:p>
    <w:p w:rsidR="006E23EE" w:rsidRPr="00A71923" w:rsidRDefault="006E23EE" w:rsidP="006E23EE">
      <w:pPr>
        <w:numPr>
          <w:ilvl w:val="0"/>
          <w:numId w:val="28"/>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Jenis senjata yang digunakan oleh pelaku (senjata api rakitan, senjata tajam, bahan peledak);</w:t>
      </w:r>
    </w:p>
    <w:p w:rsidR="006E23EE" w:rsidRPr="00A71923" w:rsidRDefault="006E23EE" w:rsidP="006E23EE">
      <w:pPr>
        <w:numPr>
          <w:ilvl w:val="0"/>
          <w:numId w:val="28"/>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Jarak dan posisi pelaku terhadap korban atau petugas;</w:t>
      </w:r>
    </w:p>
    <w:p w:rsidR="006E23EE" w:rsidRPr="00A71923" w:rsidRDefault="006E23EE" w:rsidP="006E23EE">
      <w:pPr>
        <w:numPr>
          <w:ilvl w:val="0"/>
          <w:numId w:val="28"/>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Kondisi lingkungan (ramai, sempit, gelap, atau terbuka);</w:t>
      </w:r>
    </w:p>
    <w:p w:rsidR="006E23EE" w:rsidRPr="00A71923" w:rsidRDefault="006E23EE" w:rsidP="006E23EE">
      <w:pPr>
        <w:numPr>
          <w:ilvl w:val="0"/>
          <w:numId w:val="28"/>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Respon pelaku terhadap peringatan lisan atau tindakan pencegahan lainnya;</w:t>
      </w:r>
    </w:p>
    <w:p w:rsidR="006E23EE" w:rsidRPr="00A71923" w:rsidRDefault="006E23EE" w:rsidP="006E23EE">
      <w:pPr>
        <w:numPr>
          <w:ilvl w:val="0"/>
          <w:numId w:val="28"/>
        </w:num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lastRenderedPageBreak/>
        <w:t>Risiko terhadap masyarakat sekitar apabila pelaku dibiarkan bertindak lebih lanjut</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Dalam pelatihan rutin Brimob, skenario simulasi penggunaan senjata api dilakukan dalam berbagai kondisi untuk mengasah kepekaan personel dalam mengambil keputusan cepat, namun tetap sah secara hukum.</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Contoh praktik ini diterapkan saat penangkapan pelaku pencurian bersenjata di kawasan Medan Deli pada akhir 2022. Berdasarkan kronologi lapangan, tim Brimob melakukan pendekatan secara diam-diam, namun saat pelaku menyadari kehadiran petugas dan menodongkan senjata ke warga, personel Brimob mengambil tindakan tegas dengan melumpuhkan pelaku menggunakan tembakan terarah ke paha. Tindakan ini didukung oleh hasil investigasi internal yang menyatakan bahwa personel telah menjalankan prosedur dengan benar</w:t>
      </w: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4.3.3 Peringatan Sebelum Penggunaan Senjata Api</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Peraturan Kapolri mewajibkan aparat untuk memberikan peringatan lisan atau tembakan ke udara terlebih dahulu sebelum menggunakan senjata api secara langsung terhadap pelaku. Tujuan dari peringatan ini adalah memberikan kesempatan kepada pelaku untuk menyerah dan menghindari konfrontasi yang berujung pada jatuhnya korban jiwa.</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 xml:space="preserve">Namun, dalam kenyataannya, pemberian peringatan tidak selalu memungkinkan dilakukan, terutama dalam situasi yang bersifat mendesak dan mengancam jiwa. Misalnya, ketika pelaku sudah berada dalam posisi menembak atau meledakkan </w:t>
      </w:r>
      <w:r w:rsidRPr="00A71923">
        <w:rPr>
          <w:rFonts w:ascii="Times New Roman" w:eastAsia="Times New Roman" w:hAnsi="Times New Roman" w:cs="Times New Roman"/>
          <w:noProof/>
          <w:kern w:val="0"/>
          <w14:ligatures w14:val="none"/>
        </w:rPr>
        <w:lastRenderedPageBreak/>
        <w:t>bahan peledak, maka menunggu untuk memberikan peringatan dapat menimbulkan korban jiwa lebih banyak.</w:t>
      </w:r>
    </w:p>
    <w:p w:rsidR="006E23EE" w:rsidRPr="00A71923" w:rsidRDefault="006E23EE" w:rsidP="006E23EE">
      <w:pPr>
        <w:spacing w:before="100" w:beforeAutospacing="1" w:after="100" w:afterAutospacing="1"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Salah satu anggota Brimob menyampaikan bahwa dalam 70% kasus penangkapan pelaku bersenjata, mereka masih dapat memberikan peringatan terlebih dahulu. Namun dalam 30% sisanya, tindakan tegas berupa tembakan langsung diambil karena situasi tidak memungkinkan upaya negosiasi.</w:t>
      </w: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4.3.4 Evaluasi Internal dan Akuntabilitas Prosedur</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Setiap tindakan penggunaan senjata api oleh Brimob harus dilaporkan dalam bentuk berita acara penggunaan kekuatan, yang memuat kronologi kejadian, alasan penggunaan senjata, kondisi pelaku, serta saksi-saksi. Berita acara ini kemudian diperiksa oleh atasan langsung, dan jika terjadi korban, laporan akan diteruskan ke Divisi Propam untuk dilakukan pemeriksaan lebih lanjut.</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Evaluasi internal ini berfungsi sebagai bentuk pengawasan sekaligus pertanggungjawaban hukum. Dalam beberapa kasus, anggota Brimob yang terbukti menyalahgunakan senjata api dikenakan hukuman disiplin, mutasi, atau sanksi pidana jika terbukti terdapat unsur kelalaian atau kesengajaan yang melanggar prosedur.</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Namun, terdapat kendala dalam pelaksanaan pengawasan ini, di antaranya adalah:</w:t>
      </w:r>
    </w:p>
    <w:p w:rsidR="006E23EE" w:rsidRPr="00A71923" w:rsidRDefault="006E23EE" w:rsidP="006E23EE">
      <w:pPr>
        <w:numPr>
          <w:ilvl w:val="0"/>
          <w:numId w:val="29"/>
        </w:num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Masih lemahnya koordinasi antara satuan operasional dan pengawas internal;</w:t>
      </w:r>
    </w:p>
    <w:p w:rsidR="006E23EE" w:rsidRPr="00A71923" w:rsidRDefault="006E23EE" w:rsidP="006E23EE">
      <w:pPr>
        <w:numPr>
          <w:ilvl w:val="0"/>
          <w:numId w:val="29"/>
        </w:num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Tidak semua insiden tercatat secara akurat, terutama jika tidak menimbulkan korban;</w:t>
      </w:r>
    </w:p>
    <w:p w:rsidR="006E23EE" w:rsidRPr="00A71923" w:rsidRDefault="006E23EE" w:rsidP="006E23EE">
      <w:pPr>
        <w:numPr>
          <w:ilvl w:val="0"/>
          <w:numId w:val="29"/>
        </w:num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lastRenderedPageBreak/>
        <w:t>Keterbatasan bukti pendukung, seperti dokumentasi atau saksi di lokasi kejadian</w:t>
      </w:r>
      <w:r>
        <w:rPr>
          <w:rFonts w:ascii="Times New Roman" w:eastAsia="MS Mincho" w:hAnsi="Times New Roman" w:cs="Times New Roman" w:hint="eastAsia"/>
          <w:noProof/>
          <w:kern w:val="0"/>
          <w14:ligatures w14:val="none"/>
        </w:rPr>
        <w:t>.</w:t>
      </w:r>
    </w:p>
    <w:p w:rsidR="006E23EE"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Kendala-kendala tersebut menunjukkan bahwa meskipun prosedur sudah dirancang dengan baik, penguatan pengawasan dan evaluasi masih diperlukan agar sistem akuntabilitas berjalan optimal.</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4.3.5 Relevansi dan Urgensi Pelatihan Berkelanjutan</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Penggunaan senjata api yang sah, proporsional, dan akuntabel sangat bergantung pada kualitas pelatihan personel Brimob. Oleh karena itu, pelatihan yang bersifat teknis, etis, dan hukum menjadi sangat penting. Materi pelatihan harus meliputi:</w:t>
      </w:r>
    </w:p>
    <w:p w:rsidR="006E23EE" w:rsidRPr="00A71923" w:rsidRDefault="006E23EE" w:rsidP="006E23EE">
      <w:pPr>
        <w:numPr>
          <w:ilvl w:val="0"/>
          <w:numId w:val="30"/>
        </w:num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Simulasi situasi penggunaan senjata api di area padat penduduk;</w:t>
      </w:r>
    </w:p>
    <w:p w:rsidR="006E23EE" w:rsidRPr="00A71923" w:rsidRDefault="006E23EE" w:rsidP="006E23EE">
      <w:pPr>
        <w:numPr>
          <w:ilvl w:val="0"/>
          <w:numId w:val="30"/>
        </w:num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Pengenalan dan penghindaran penggunaan kekuatan mematikan secara berlebihan;</w:t>
      </w:r>
    </w:p>
    <w:p w:rsidR="006E23EE" w:rsidRPr="00A71923" w:rsidRDefault="006E23EE" w:rsidP="006E23EE">
      <w:pPr>
        <w:numPr>
          <w:ilvl w:val="0"/>
          <w:numId w:val="30"/>
        </w:num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Peningkatan kemampuan komunikasi dan negosiasi;</w:t>
      </w:r>
    </w:p>
    <w:p w:rsidR="006E23EE" w:rsidRPr="00A71923" w:rsidRDefault="006E23EE" w:rsidP="006E23EE">
      <w:pPr>
        <w:numPr>
          <w:ilvl w:val="0"/>
          <w:numId w:val="30"/>
        </w:num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Sosialisasi prinsip HAM dan pertanggungjawaban hukum atas penyalahgunaan kekuatan</w:t>
      </w:r>
      <w:r>
        <w:rPr>
          <w:rFonts w:ascii="Times New Roman" w:eastAsia="MS Mincho" w:hAnsi="Times New Roman" w:cs="Times New Roman" w:hint="eastAsia"/>
          <w:noProof/>
          <w:kern w:val="0"/>
          <w14:ligatures w14:val="none"/>
        </w:rPr>
        <w:t>.</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Wawancara dengan pelatih lapangan Brimob mengungkapkan bahwa pelatihan biasanya dilakukan setiap tiga bulan, namun keterbatasan anggaran dan personel sering menjadi hambatan dalam pelaksanaan pelatihan rutin. Oleh karena itu, diperlukan komitmen institusi untuk menjadikan pelatihan sebagai prioritas utama, agar anggota Brimob tidak hanya kuat secara fisik, tetapi juga matang secara hukum dan etika.</w:t>
      </w:r>
    </w:p>
    <w:p w:rsidR="006E23EE" w:rsidRDefault="006E23EE" w:rsidP="006E23EE">
      <w:pPr>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br w:type="page"/>
      </w: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lastRenderedPageBreak/>
        <w:t>4.4 Dampak Penggunaan Senjata Api oleh Brimob terhadap Penanggulangan Kejahatan Bersenjata</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Penggunaan senjata api oleh satuan Brimob dalam menanggulangi kejahatan bersenjata menimbulkan beragam dampak, baik dari sisi keamanan, sosial, hukum, psikologis, maupun persepsi publik terhadap aparat penegak hukum. Dampak tersebut dapat bersifat positif apabila tindakan dilakukan sesuai prosedur, namun juga berpotensi negatif jika dilakukan secara berlebihan atau tidak proporsional. Oleh karena itu, analisis mendalam terhadap dampak ini sangat penting sebagai bagian dari evaluasi efektivitas kebijakan penggunaan kekuatan oleh aparat kepolisian.</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4.4.1 Dampak terhadap Keamanan dan Ketertiban Masyarakat</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Penggunaan senjata api oleh Brimob, khususnya dalam situasi kejahatan bersenjata seperti perampokan atau penyanderaan, memiliki efek langsung terhadap keamanan masyarakat. Berdasarkan data yang dihimpun dari Polda Sumatera Utara, angka kejahatan bersenjata di Kota Medan mengalami penurunan sebesar 23% pada tahun 2023 dibandingkan tahun sebelumnya, yang sebagian besar dikaitkan dengan peningkatan kehadiran dan intervensi cepat dari satuan Brimob</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 xml:space="preserve">Keberadaan Brimob yang bersenjata lengkap dan siap melakukan tindakan tegas memberikan efek gentar (deterrent effect) kepada pelaku kejahatan. Para pelaku umumnya cenderung lebih berhati-hati atau bahkan membatalkan aksinya ketika mengetahui kawasan tersebut berada dalam pengawasan Brimob. Dalam </w:t>
      </w:r>
      <w:r w:rsidRPr="00A71923">
        <w:rPr>
          <w:rFonts w:ascii="Times New Roman" w:eastAsia="Times New Roman" w:hAnsi="Times New Roman" w:cs="Times New Roman"/>
          <w:noProof/>
          <w:kern w:val="0"/>
          <w14:ligatures w14:val="none"/>
        </w:rPr>
        <w:lastRenderedPageBreak/>
        <w:t>wawancara dengan masyarakat Kecamatan Medan Tembung, warga menyatakan merasa lebih aman ketika melihat patroli Brimob bersenjata di wilayah rawan kejahatan.</w:t>
      </w:r>
    </w:p>
    <w:p w:rsidR="006E23EE"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Namun demikian, penting untuk dicatat bahwa efek jera ini hanya bertahan jika tindakan aparat tetap dilakukan secara proporsional. Jika tindakan aparat tidak akuntabel, maka bisa menimbulkan efek sebaliknya, yakni ketakutan dan ketegangan sosial di tengah masyarakat.</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4.4.2 Dampak terhadap Pelaku Kejahatan</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Dari sisi pelaku kejahatan, penggunaan senjata api oleh Brimob memiliki dua sisi dampak. Pertama, adanya tindakan tegas dari aparat bisa menyebabkan pelaku mengalami luka serius bahkan kehilangan nyawa. Kedua, bagi pelaku yang berhasil diamankan hidup-hidup, penggunaan senjata api sering menjadi faktor pembelajaran bahwa aksi bersenjata memiliki risiko tinggi, yang membuat mereka berpikir ulang sebelum melakukan kejahatan kembali.</w:t>
      </w:r>
    </w:p>
    <w:p w:rsidR="006E23EE"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 xml:space="preserve">Namun, terdapat juga kasus di mana pelaku yang terluka akibat tembakan Brimob justru menempuh jalur hukum dan menggugat aparat karena merasa tindakan yang dilakukan tidak sesuai prosedur. Dalam salah satu kasus tahun 2023, seorang pelaku pencurian bersenjata yang ditembak di bagian kaki saat pengejaran di kawasan Medan Barat melaporkan anggota Brimob ke Propam karena merasa tidak mendapat peringatan terlebih dahulu Kasus ini masih dalam proses klarifikasi, dan menunjukkan bahwa meskipun penggunaan senjata dibenarkan, </w:t>
      </w:r>
      <w:r w:rsidRPr="00A71923">
        <w:rPr>
          <w:rFonts w:ascii="Times New Roman" w:eastAsia="Times New Roman" w:hAnsi="Times New Roman" w:cs="Times New Roman"/>
          <w:noProof/>
          <w:kern w:val="0"/>
          <w14:ligatures w14:val="none"/>
        </w:rPr>
        <w:lastRenderedPageBreak/>
        <w:t>akuntabilitas dan dokumentasi tetap menjadi aspek penting dalam perlindungan hukum bagi petugas.</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4.4.3 Dampak terhadap Masyarakat Sipil</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Dampak penggunaan senjata api oleh Brimob terhadap masyarakat sipil sangat kompleks. Di satu sisi, masyarakat mendapatkan rasa aman ketika aparat menunjukkan ketegasan terhadap pelaku kejahatan bersenjata. Di sisi lain, tindakan yang tidak terukur atau salah sasaran dapat menimbulkan ketakutan, keresahan, dan trauma.</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Wawancara dengan warga Medan Denai yang pernah menyaksikan baku tembak antara Brimob dan pelaku kejahatan mengungkapkan bahwa suara tembakan dan suasana mencekam membuat warga, termasuk anak-anak, mengalami ketakutan selama berhari-hari</w:t>
      </w:r>
      <w:r>
        <w:rPr>
          <w:rFonts w:ascii="MS Mincho" w:eastAsia="MS Mincho" w:hAnsi="MS Mincho" w:cs="MS Mincho" w:hint="eastAsia"/>
          <w:noProof/>
          <w:kern w:val="0"/>
          <w14:ligatures w14:val="none"/>
        </w:rPr>
        <w:t>.</w:t>
      </w:r>
      <w:r>
        <w:rPr>
          <w:rFonts w:ascii="MS Mincho" w:eastAsia="MS Mincho" w:hAnsi="MS Mincho" w:cs="MS Mincho"/>
          <w:noProof/>
          <w:kern w:val="0"/>
          <w14:ligatures w14:val="none"/>
        </w:rPr>
        <w:t xml:space="preserve"> </w:t>
      </w:r>
      <w:r w:rsidRPr="00A71923">
        <w:rPr>
          <w:rFonts w:ascii="Times New Roman" w:eastAsia="Times New Roman" w:hAnsi="Times New Roman" w:cs="Times New Roman"/>
          <w:noProof/>
          <w:kern w:val="0"/>
          <w14:ligatures w14:val="none"/>
        </w:rPr>
        <w:t>Dalam situasi seperti ini, Brimob perlu menyeimbangkan antara kecepatan tindakan dan pengamanan lingkungan sekitar agar masyarakat tidak ikut menjadi korban secara tidak langsung.</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 xml:space="preserve">Lebih jauh, beberapa LSM dan lembaga advokasi hukum di Medan menilai bahwa penggunaan senjata api oleh aparat seharusnya selalu diikuti dengan </w:t>
      </w:r>
      <w:r w:rsidRPr="00A71923">
        <w:rPr>
          <w:rFonts w:ascii="Times New Roman" w:eastAsia="Times New Roman" w:hAnsi="Times New Roman" w:cs="Times New Roman"/>
          <w:b/>
          <w:bCs/>
          <w:noProof/>
          <w:kern w:val="0"/>
          <w14:ligatures w14:val="none"/>
        </w:rPr>
        <w:t xml:space="preserve">sosialisasi </w:t>
      </w:r>
      <w:r w:rsidRPr="00A71923">
        <w:rPr>
          <w:rFonts w:ascii="Times New Roman" w:eastAsia="Times New Roman" w:hAnsi="Times New Roman" w:cs="Times New Roman"/>
          <w:noProof/>
          <w:kern w:val="0"/>
          <w14:ligatures w14:val="none"/>
        </w:rPr>
        <w:t>publik dan klarifikasi resmi, agar tidak menimbulkan disinformasi yang dapat memicu konflik antara masyarakat dan kepolisian.</w:t>
      </w: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4.4.4 Dampak terhadap Citra Institusi Kepolisian</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 xml:space="preserve">Citra kepolisian, khususnya Brimob, sangat ditentukan oleh cara mereka menggunakan kewenangannya. Tindakan yang tepat, proporsional, dan transparan akan meningkatkan kepercayaan publik. Sebaliknya, tindakan berlebihan atau </w:t>
      </w:r>
      <w:r w:rsidRPr="00A71923">
        <w:rPr>
          <w:rFonts w:ascii="Times New Roman" w:eastAsia="Times New Roman" w:hAnsi="Times New Roman" w:cs="Times New Roman"/>
          <w:noProof/>
          <w:kern w:val="0"/>
          <w14:ligatures w14:val="none"/>
        </w:rPr>
        <w:lastRenderedPageBreak/>
        <w:t>insiden salah tembak bisa menyebabkan hilangnya legitimasi sosial aparat di mata masyarakat.</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Menurut survei lembaga independen di Kota Medan tahun 2024, kepercayaan masyarakat terhadap institusi Brimob meningkat sebesar 14% dibanding tahun sebelumnya, yang dikaitkan dengan keberhasilan Brimob menanggulangi beberapa kasus kejahatan bersenjata yang viral di media sosial Namun, peningkatan kepercayaan ini juga disertai dengan harapan besar dari masyarakat bahwa Brimob tetap menjaga profesionalismenya.</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Ketika aparat dianggap tidak mampu mengendalikan kekuasaan senjata api yang dimilikinya, masyarakat akan menjadi lebih kritis bahkan bisa bersikap antagonis. Oleh karena itu, citra positif yang dibangun melalui tindakan profesional harus terus dijaga melalui pelatihan, transparansi, dan komunikasi publik yang baik.</w:t>
      </w: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4.4.5 Dampak terhadap Hak Asasi Manusia dan Sistem Hukum</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Penggunaan senjata api sangat erat kaitannya dengan hak asasi manusia, khususnya hak hidup dan perlindungan dari kekerasan sewenang-wenang. Jika tidak dilakukan sesuai prosedur, tindakan aparat dapat dianggap sebagai pelanggaran HAM berat.</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Komnas HAM dalam laporan tahunan 2022 menyoroti bahwa sebagian besar pengaduan masyarakat terhadap aparat bersenjata terkait dengan penggunaan senjata api yang dianggap tidak proporsional atau tanpa peringatanDalam konteks Brimob, penggunaan kekuatan mematikan hanya boleh dilakukan ketika tidak ada pilihan lain untuk melindungi nyawa petugas atau masyarakat.</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lastRenderedPageBreak/>
        <w:t>Dampak hukum juga dapat terjadi ketika aparat tidak mampu membuktikan bahwa tindakan mereka sah dan sesuai prosedur. Hal ini dapat mempersulit proses pembelaan hukum, baik di internal kepolisian maupun di pengadilan umum. Untuk menghindari dampak hukum tersebut, sangat penting bagi Brimob untuk selalu mendokumentasikan tindakan secara lengkap, mulai dari laporan operasional, saksi, rekaman audio-visual jika memungkinkan, serta berita acara penggunaan senjata.</w:t>
      </w:r>
    </w:p>
    <w:p w:rsidR="006E23EE" w:rsidRPr="00A7192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A71923">
        <w:rPr>
          <w:rFonts w:ascii="Times New Roman" w:eastAsia="Times New Roman" w:hAnsi="Times New Roman" w:cs="Times New Roman"/>
          <w:b/>
          <w:bCs/>
          <w:noProof/>
          <w:kern w:val="0"/>
          <w14:ligatures w14:val="none"/>
        </w:rPr>
        <w:t>4.4.6 Dampak Psikologis terhadap Personel Brimob</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Dampak lain yang sering kali terabaikan adalah efek psikologis yang dirasakan oleh personel Brimob sendiri setelah menggunakan senjata api. Dalam beberapa kasus, personel yang pernah menembak pelaku atau bahkan menyebabkan kematian pelaku mengalami tekanan batin, perasaan bersalah, dan gangguan kecemasan.</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Wawancara dengan dua anggota Brimob menyatakan bahwa setelah kejadian penembakan, mereka sering mengalami mimpi buruk dan memilih untuk menghindari operasi lapangan selama beberapa waktu. Bahkan dalam kasus ekstrem, ada personel yang perlu mendapatkan pendampingan psikologis pasca operasi bersenjata</w:t>
      </w:r>
    </w:p>
    <w:p w:rsidR="006E23EE" w:rsidRPr="00A7192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A71923">
        <w:rPr>
          <w:rFonts w:ascii="Times New Roman" w:eastAsia="Times New Roman" w:hAnsi="Times New Roman" w:cs="Times New Roman"/>
          <w:noProof/>
          <w:kern w:val="0"/>
          <w14:ligatures w14:val="none"/>
        </w:rPr>
        <w:t>Hal ini menunjukkan pentingnya dukungan psikologis internal dalam struktur organisasi Brimob, agar para anggota tidak hanya siap secara fisik dan teknis, tetapi juga mental.</w:t>
      </w:r>
    </w:p>
    <w:p w:rsidR="006E23EE" w:rsidRDefault="006E23EE" w:rsidP="006E23EE">
      <w:pPr>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br w:type="page"/>
      </w:r>
    </w:p>
    <w:p w:rsidR="006E23EE" w:rsidRPr="000D1C0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0D1C03">
        <w:rPr>
          <w:rFonts w:ascii="Times New Roman" w:eastAsia="Times New Roman" w:hAnsi="Times New Roman" w:cs="Times New Roman"/>
          <w:b/>
          <w:bCs/>
          <w:noProof/>
          <w:kern w:val="0"/>
          <w14:ligatures w14:val="none"/>
        </w:rPr>
        <w:lastRenderedPageBreak/>
        <w:t>4.5 Hambatan dan Solusi dalam Pelaksanaan Prosedur Penggunaan Senjata Api oleh Brimob</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Meskipun regulasi dan standar prosedural telah tersedia secara komprehensif, dalam praktiknya Brimob masih menghadapi berbagai hambatan dalam pelaksanaan penggunaan senjata api di lapangan. Hambatan tersebut muncul dari faktor internal institusi, kondisi eksternal di lapangan, keterbatasan sumber daya, hingga aspek sosial dan psikologis yang memengaruhi pengambilan keputusan aparat.</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Untuk menganalisis permasalahan tersebut secara menyeluruh, bagian ini akan memetakan hambatan-hambatan yang paling signifikan dan solusi atau rekomendasi strategis yang dapat diterapkan guna meningkatkan efektivitas dan akuntabilitas penggunaan senjata api oleh Brimob.</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p>
    <w:p w:rsidR="006E23EE" w:rsidRPr="000D1C0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0D1C03">
        <w:rPr>
          <w:rFonts w:ascii="Times New Roman" w:eastAsia="Times New Roman" w:hAnsi="Times New Roman" w:cs="Times New Roman"/>
          <w:b/>
          <w:bCs/>
          <w:noProof/>
          <w:kern w:val="0"/>
          <w14:ligatures w14:val="none"/>
        </w:rPr>
        <w:t>4.5.1 Hambatan Internal Institusional</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Salah satu kendala utama yang ditemukan adalah minimnya pelatihan berkala dan evaluasi terstandarisasi terhadap prosedur penggunaan kekuatan. Berdasarkan hasil wawancara dengan perwira pelatih Brimob, latihan penanganan situasi bersenjata biasanya dilakukan hanya dua kali dalam setahun, padahal dinamika ancaman yang dihadapi di lapangan sangat cepat berubah</w:t>
      </w:r>
      <w:r>
        <w:rPr>
          <w:rFonts w:ascii="MS Mincho" w:eastAsia="MS Mincho" w:hAnsi="MS Mincho" w:cs="MS Mincho" w:hint="eastAsia"/>
          <w:noProof/>
          <w:kern w:val="0"/>
          <w14:ligatures w14:val="none"/>
        </w:rPr>
        <w:t>.</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 xml:space="preserve">Selain itu, masih terdapat kesenjangan dalam pemahaman terhadap prinsip-prinsip hukum dan HAM, khususnya di kalangan personel junior. Banyak personel baru yang memahami penggunaan senjata api hanya dari sisi teknis, tetapi belum </w:t>
      </w:r>
      <w:r w:rsidRPr="000D1C03">
        <w:rPr>
          <w:rFonts w:ascii="Times New Roman" w:eastAsia="Times New Roman" w:hAnsi="Times New Roman" w:cs="Times New Roman"/>
          <w:noProof/>
          <w:kern w:val="0"/>
          <w14:ligatures w14:val="none"/>
        </w:rPr>
        <w:lastRenderedPageBreak/>
        <w:t>secara utuh memahami tanggung jawab hukum dan konsekuensi pelanggaran prosedural</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Aspek lain adalah birokrasi internal yang lamban dalam memproses laporan penggunaan kekuatan. Terkadang, personel merasa ragu membuat laporan karena takut dikaitkan dengan pelanggaran disiplin, meskipun tindakan yang dilakukan sah secara hukum. Hal ini menunjukkan perlunya perlindungan administratif bagi petugas yang bertindak sesuai prosedur.</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p>
    <w:p w:rsidR="006E23EE" w:rsidRPr="000D1C0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0D1C03">
        <w:rPr>
          <w:rFonts w:ascii="Times New Roman" w:eastAsia="Times New Roman" w:hAnsi="Times New Roman" w:cs="Times New Roman"/>
          <w:b/>
          <w:bCs/>
          <w:noProof/>
          <w:kern w:val="0"/>
          <w14:ligatures w14:val="none"/>
        </w:rPr>
        <w:t>4.5.2 Hambatan Lapangan: Tekanan Operasional dan Situasional</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Di lapangan, Brimob sering kali dihadapkan pada situasi yang serba cepat dan tidak terduga, seperti:</w:t>
      </w:r>
    </w:p>
    <w:p w:rsidR="006E23EE" w:rsidRPr="000D1C03" w:rsidRDefault="006E23EE" w:rsidP="006E23EE">
      <w:pPr>
        <w:numPr>
          <w:ilvl w:val="0"/>
          <w:numId w:val="31"/>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Lingkungan yang padat penduduk;</w:t>
      </w:r>
    </w:p>
    <w:p w:rsidR="006E23EE" w:rsidRPr="000D1C03" w:rsidRDefault="006E23EE" w:rsidP="006E23EE">
      <w:pPr>
        <w:numPr>
          <w:ilvl w:val="0"/>
          <w:numId w:val="31"/>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Pelaku bersenjata dan agresif;</w:t>
      </w:r>
    </w:p>
    <w:p w:rsidR="006E23EE" w:rsidRPr="000D1C03" w:rsidRDefault="006E23EE" w:rsidP="006E23EE">
      <w:pPr>
        <w:numPr>
          <w:ilvl w:val="0"/>
          <w:numId w:val="31"/>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Minimnya waktu untuk berkoordinasi;</w:t>
      </w:r>
    </w:p>
    <w:p w:rsidR="006E23EE" w:rsidRPr="000D1C03" w:rsidRDefault="006E23EE" w:rsidP="006E23EE">
      <w:pPr>
        <w:numPr>
          <w:ilvl w:val="0"/>
          <w:numId w:val="31"/>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Ketidakjelasan identitas pelaku di tengah massa.</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Kondisi ini menyebabkan aparat tidak selalu dapat mengikuti prosedur secara ideal, seperti memberi peringatan atau menggunakan alat non-mematikan terlebih dahulu. Seorang komandan unit lapangan menyatakan bahwa “di medan operasi, waktu berpikir itu sangat sempit – kadang kita harus memilih antara hidup atau mati dalam hitungan detik”</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 xml:space="preserve">Tekanan tersebut memengaruhi refleks dan pengambilan keputusan, yang pada akhirnya menentukan apakah tindakan aparat bisa dibenarkan atau tidak. Maka </w:t>
      </w:r>
      <w:r w:rsidRPr="000D1C03">
        <w:rPr>
          <w:rFonts w:ascii="Times New Roman" w:eastAsia="Times New Roman" w:hAnsi="Times New Roman" w:cs="Times New Roman"/>
          <w:noProof/>
          <w:kern w:val="0"/>
          <w14:ligatures w14:val="none"/>
        </w:rPr>
        <w:lastRenderedPageBreak/>
        <w:t>dari itu, dibutuhkan peningkatan pelatihan berbasis simulasi realistis untuk memperkuat kemampuan pengambilan keputusan cepat namun tetap sah.</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p>
    <w:p w:rsidR="006E23EE" w:rsidRPr="000D1C0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0D1C03">
        <w:rPr>
          <w:rFonts w:ascii="Times New Roman" w:eastAsia="Times New Roman" w:hAnsi="Times New Roman" w:cs="Times New Roman"/>
          <w:b/>
          <w:bCs/>
          <w:noProof/>
          <w:kern w:val="0"/>
          <w14:ligatures w14:val="none"/>
        </w:rPr>
        <w:t>4.5.3 Hambatan Sosial dan Persepsi Masyarakat</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Dalam beberapa kasus, masyarakat sering kali menyalahartikan tindakan tegas Brimob sebagai bentuk arogansi atau pelanggaran HAM. Hal ini diperparah oleh minimnya komunikasi publik dari pihak kepolisian setelah insiden penggunaan senjata api terjadi.</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Kurangnya sosialisasi tentang hak dan batasan aparat penegak hukum membuat masyarakat hanya melihat hasil akhir (misalnya: pelaku tewas) tanpa mengetahui konteks tindakan tersebut. Ketidaktahuan ini menciptakan stigma negatif terhadap Brimob, yang justru dapat menghambat upaya-upaya penegakan hukum secara keseluruhan</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Diperlukan strategi komunikasi kepolisian yang aktif dan terbuka, termasuk klarifikasi kepada media dan masyarakat setelah operasi senjata berlangsung. Hal ini penting untuk mencegah berkembangnya informasi yang menyesatkan.</w:t>
      </w:r>
    </w:p>
    <w:p w:rsidR="006E23EE" w:rsidRPr="000D1C0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0D1C03">
        <w:rPr>
          <w:rFonts w:ascii="Times New Roman" w:eastAsia="Times New Roman" w:hAnsi="Times New Roman" w:cs="Times New Roman"/>
          <w:b/>
          <w:bCs/>
          <w:noProof/>
          <w:kern w:val="0"/>
          <w14:ligatures w14:val="none"/>
        </w:rPr>
        <w:t>4.5.4 Hambatan Kelembagaan dalam Pengawasan dan Evaluasi</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Mekanisme pengawasan internal terhadap tindakan penggunaan senjata api oleh Brimob masih tergolong lemah. Unit Propam Kepolisian belum sepenuhnya menjangkau evaluasi yang bersifat proaktif, sebagian besar masih bersifat reaktif atau berdasarkan laporan aduan.</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lastRenderedPageBreak/>
        <w:t>Selain itu, keterlibatan lembaga eksternal seperti Komnas HAM, LPSK, dan Ombudsman masih bersifat sporadis. Padahal keterlibatan pihak eksternal sangat penting untuk menjamin akuntabilitas institusi di mata publik.</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Diperlukan pembentukan tim evaluasi independen dalam tubuh kepolisian yang terdiri dari unsur internal dan eksternal untuk memeriksa prosedur operasional, mengaudit laporan penggunaan senjata api, dan memberikan rekomendasi kebijakan yang objektif</w:t>
      </w:r>
      <w:r>
        <w:rPr>
          <w:rFonts w:ascii="MS Mincho" w:eastAsia="MS Mincho" w:hAnsi="MS Mincho" w:cs="MS Mincho" w:hint="eastAsia"/>
          <w:noProof/>
          <w:kern w:val="0"/>
          <w14:ligatures w14:val="none"/>
        </w:rPr>
        <w:t>.</w:t>
      </w:r>
    </w:p>
    <w:p w:rsidR="006E23EE" w:rsidRPr="000D1C03" w:rsidRDefault="006E23EE" w:rsidP="006E23EE">
      <w:pPr>
        <w:spacing w:after="0" w:line="480" w:lineRule="auto"/>
        <w:jc w:val="both"/>
        <w:outlineLvl w:val="2"/>
        <w:rPr>
          <w:rFonts w:ascii="Times New Roman" w:eastAsia="Times New Roman" w:hAnsi="Times New Roman" w:cs="Times New Roman"/>
          <w:b/>
          <w:bCs/>
          <w:noProof/>
          <w:kern w:val="0"/>
          <w14:ligatures w14:val="none"/>
        </w:rPr>
      </w:pPr>
      <w:r w:rsidRPr="000D1C03">
        <w:rPr>
          <w:rFonts w:ascii="Times New Roman" w:eastAsia="Times New Roman" w:hAnsi="Times New Roman" w:cs="Times New Roman"/>
          <w:b/>
          <w:bCs/>
          <w:noProof/>
          <w:kern w:val="0"/>
          <w14:ligatures w14:val="none"/>
        </w:rPr>
        <w:t>4.5.5 Solusi dan Rekomendasi Perbaikan</w:t>
      </w:r>
    </w:p>
    <w:p w:rsidR="006E23EE" w:rsidRPr="000D1C03" w:rsidRDefault="006E23EE" w:rsidP="006E23EE">
      <w:p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Berdasarkan identifikasi hambatan di atas, berikut beberapa solusi yang dapat diterapkan secara sistematis:</w:t>
      </w:r>
    </w:p>
    <w:p w:rsidR="006E23EE" w:rsidRPr="000D1C03" w:rsidRDefault="006E23EE" w:rsidP="006E23EE">
      <w:pPr>
        <w:numPr>
          <w:ilvl w:val="0"/>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Peningkatan frekuensi dan kualitas pelatihan</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Latihan berbasis skenario nyata harus dilakukan minimal setiap kuartal;</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Materi pelatihan harus mencakup dimensi hukum, etika, dan psikologis.</w:t>
      </w:r>
    </w:p>
    <w:p w:rsidR="006E23EE" w:rsidRPr="000D1C03" w:rsidRDefault="006E23EE" w:rsidP="006E23EE">
      <w:pPr>
        <w:numPr>
          <w:ilvl w:val="0"/>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Digitalisasi pelaporan dan evaluasi</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Penggunaan sistem online untuk mencatat tindakan penggunaan senjata api secara langsung oleh petugas di lapangan;</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Integrasi laporan dengan Divisi Propam dan supervisi lapangan.</w:t>
      </w:r>
    </w:p>
    <w:p w:rsidR="006E23EE" w:rsidRPr="000D1C03" w:rsidRDefault="006E23EE" w:rsidP="006E23EE">
      <w:pPr>
        <w:numPr>
          <w:ilvl w:val="0"/>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Peningkatan perlindungan hukum bagi petugas</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Diberikan perlindungan administratif dan bantuan hukum bagi aparat yang bertindak sesuai prosedur;</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lastRenderedPageBreak/>
        <w:t>Diterbitkan pedoman khusus tentang hak dan tanggung jawab petugas dalam tindakan senjata.</w:t>
      </w:r>
    </w:p>
    <w:p w:rsidR="006E23EE" w:rsidRPr="000D1C03" w:rsidRDefault="006E23EE" w:rsidP="006E23EE">
      <w:pPr>
        <w:numPr>
          <w:ilvl w:val="0"/>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Penguatan komunikasi publik dan keterlibatan masyarakat</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Brimob harus memiliki unit kehumasan lapangan yang siap memberikan informasi setelah insiden;</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Melibatkan tokoh masyarakat dan akademisi dalam forum diskusi keamanan dan HAM.</w:t>
      </w:r>
    </w:p>
    <w:p w:rsidR="006E23EE" w:rsidRPr="000D1C03" w:rsidRDefault="006E23EE" w:rsidP="006E23EE">
      <w:pPr>
        <w:numPr>
          <w:ilvl w:val="0"/>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Keterlibatan lembaga independen dalam pengawasan</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Komnas HAM dan LPSK dilibatkan dalam evaluasi tindakan kekerasan bersenjata;</w:t>
      </w:r>
    </w:p>
    <w:p w:rsidR="006E23EE" w:rsidRPr="000D1C03" w:rsidRDefault="006E23EE" w:rsidP="006E23EE">
      <w:pPr>
        <w:numPr>
          <w:ilvl w:val="1"/>
          <w:numId w:val="32"/>
        </w:numPr>
        <w:spacing w:after="0" w:line="480" w:lineRule="auto"/>
        <w:jc w:val="both"/>
        <w:outlineLvl w:val="2"/>
        <w:rPr>
          <w:rFonts w:ascii="Times New Roman" w:eastAsia="Times New Roman" w:hAnsi="Times New Roman" w:cs="Times New Roman"/>
          <w:noProof/>
          <w:kern w:val="0"/>
          <w14:ligatures w14:val="none"/>
        </w:rPr>
      </w:pPr>
      <w:r w:rsidRPr="000D1C03">
        <w:rPr>
          <w:rFonts w:ascii="Times New Roman" w:eastAsia="Times New Roman" w:hAnsi="Times New Roman" w:cs="Times New Roman"/>
          <w:noProof/>
          <w:kern w:val="0"/>
          <w14:ligatures w14:val="none"/>
        </w:rPr>
        <w:t>Audit rutin tahunan atas penggunaan senjata api di satuan Brimob.</w:t>
      </w:r>
    </w:p>
    <w:p w:rsidR="00653891" w:rsidRPr="006E23EE" w:rsidRDefault="00653891" w:rsidP="006E23EE">
      <w:bookmarkStart w:id="0" w:name="_GoBack"/>
      <w:bookmarkEnd w:id="0"/>
    </w:p>
    <w:sectPr w:rsidR="00653891" w:rsidRPr="006E23EE" w:rsidSect="00FF23DE">
      <w:headerReference w:type="even" r:id="rId8"/>
      <w:headerReference w:type="default" r:id="rId9"/>
      <w:footerReference w:type="even" r:id="rId10"/>
      <w:footerReference w:type="default" r:id="rId11"/>
      <w:headerReference w:type="first" r:id="rId12"/>
      <w:footerReference w:type="first" r:id="rId13"/>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AB4" w:rsidRDefault="00646AB4" w:rsidP="00144185">
      <w:pPr>
        <w:spacing w:after="0" w:line="240" w:lineRule="auto"/>
      </w:pPr>
      <w:r>
        <w:separator/>
      </w:r>
    </w:p>
  </w:endnote>
  <w:endnote w:type="continuationSeparator" w:id="0">
    <w:p w:rsidR="00646AB4" w:rsidRDefault="00646AB4" w:rsidP="0014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646A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646A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646A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AB4" w:rsidRDefault="00646AB4" w:rsidP="00144185">
      <w:pPr>
        <w:spacing w:after="0" w:line="240" w:lineRule="auto"/>
      </w:pPr>
      <w:r>
        <w:separator/>
      </w:r>
    </w:p>
  </w:footnote>
  <w:footnote w:type="continuationSeparator" w:id="0">
    <w:p w:rsidR="00646AB4" w:rsidRDefault="00646AB4" w:rsidP="00144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646AB4">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3" o:spid="_x0000_s2050" type="#_x0000_t75" style="position:absolute;margin-left:0;margin-top:0;width:396.45pt;height:390.65pt;z-index:-251656192;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646AB4">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4" o:spid="_x0000_s2051" type="#_x0000_t75" style="position:absolute;margin-left:0;margin-top:0;width:396.45pt;height:390.65pt;z-index:-251655168;mso-position-horizontal:center;mso-position-horizontal-relative:margin;mso-position-vertical:center;mso-position-vertical-relative:margin" o:allowincell="f">
          <v:imagedata r:id="rId1" o:title="LOGO-UMN-1 (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646AB4">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2" o:spid="_x0000_s2049" type="#_x0000_t75" style="position:absolute;margin-left:0;margin-top:0;width:396.45pt;height:390.65pt;z-index:-251657216;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2986"/>
    <w:multiLevelType w:val="hybridMultilevel"/>
    <w:tmpl w:val="AF48F13A"/>
    <w:lvl w:ilvl="0" w:tplc="08CE198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A1798"/>
    <w:multiLevelType w:val="hybridMultilevel"/>
    <w:tmpl w:val="E1F87E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274A7"/>
    <w:multiLevelType w:val="hybridMultilevel"/>
    <w:tmpl w:val="E4567D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0C48A9"/>
    <w:multiLevelType w:val="hybridMultilevel"/>
    <w:tmpl w:val="703C40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982AD4"/>
    <w:multiLevelType w:val="hybridMultilevel"/>
    <w:tmpl w:val="69D46A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E131C8D"/>
    <w:multiLevelType w:val="hybridMultilevel"/>
    <w:tmpl w:val="860AAFCE"/>
    <w:lvl w:ilvl="0" w:tplc="18F605E2">
      <w:start w:val="2"/>
      <w:numFmt w:val="decimal"/>
      <w:lvlText w:val="2.4.%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1878C7"/>
    <w:multiLevelType w:val="multilevel"/>
    <w:tmpl w:val="180849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6A24CC"/>
    <w:multiLevelType w:val="multilevel"/>
    <w:tmpl w:val="BACE17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10751"/>
    <w:multiLevelType w:val="hybridMultilevel"/>
    <w:tmpl w:val="7A4E624E"/>
    <w:lvl w:ilvl="0" w:tplc="7EC6D9C6">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8098A"/>
    <w:multiLevelType w:val="multilevel"/>
    <w:tmpl w:val="613A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DB7721"/>
    <w:multiLevelType w:val="hybridMultilevel"/>
    <w:tmpl w:val="3B9AF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AD7C7A"/>
    <w:multiLevelType w:val="hybridMultilevel"/>
    <w:tmpl w:val="5A9EE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77643E"/>
    <w:multiLevelType w:val="multilevel"/>
    <w:tmpl w:val="B80C55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9A1E5E"/>
    <w:multiLevelType w:val="hybridMultilevel"/>
    <w:tmpl w:val="5DAE4162"/>
    <w:lvl w:ilvl="0" w:tplc="0409000F">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4">
    <w:nsid w:val="2B522B59"/>
    <w:multiLevelType w:val="hybridMultilevel"/>
    <w:tmpl w:val="80084132"/>
    <w:lvl w:ilvl="0" w:tplc="0500519E">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DB666C6"/>
    <w:multiLevelType w:val="hybridMultilevel"/>
    <w:tmpl w:val="302A3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55094E"/>
    <w:multiLevelType w:val="multilevel"/>
    <w:tmpl w:val="ADDC6CF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E7127C"/>
    <w:multiLevelType w:val="hybridMultilevel"/>
    <w:tmpl w:val="A0844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CC30A7"/>
    <w:multiLevelType w:val="hybridMultilevel"/>
    <w:tmpl w:val="39C244E6"/>
    <w:lvl w:ilvl="0" w:tplc="89CE1B0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8C18BF"/>
    <w:multiLevelType w:val="multilevel"/>
    <w:tmpl w:val="2D3490BA"/>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3ECA0937"/>
    <w:multiLevelType w:val="multilevel"/>
    <w:tmpl w:val="7C8ED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F4C75FB"/>
    <w:multiLevelType w:val="hybridMultilevel"/>
    <w:tmpl w:val="DA6E28D6"/>
    <w:lvl w:ilvl="0" w:tplc="07B278EC">
      <w:start w:val="1"/>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4424DEC"/>
    <w:multiLevelType w:val="multilevel"/>
    <w:tmpl w:val="36DE2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75D7A23"/>
    <w:multiLevelType w:val="multilevel"/>
    <w:tmpl w:val="B4FA8A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C360181"/>
    <w:multiLevelType w:val="hybridMultilevel"/>
    <w:tmpl w:val="8F065BEC"/>
    <w:lvl w:ilvl="0" w:tplc="0409000F">
      <w:start w:val="1"/>
      <w:numFmt w:val="decimal"/>
      <w:lvlText w:val="%1."/>
      <w:lvlJc w:val="left"/>
      <w:pPr>
        <w:ind w:left="720" w:hanging="360"/>
      </w:pPr>
      <w:rPr>
        <w:rFonts w:hint="default"/>
      </w:rPr>
    </w:lvl>
    <w:lvl w:ilvl="1" w:tplc="84869C82">
      <w:start w:val="1"/>
      <w:numFmt w:val="decimal"/>
      <w:lvlText w:val="%2)"/>
      <w:lvlJc w:val="left"/>
      <w:pPr>
        <w:ind w:left="1800" w:hanging="720"/>
      </w:pPr>
      <w:rPr>
        <w:rFonts w:hint="default"/>
      </w:rPr>
    </w:lvl>
    <w:lvl w:ilvl="2" w:tplc="F384916C">
      <w:start w:val="1"/>
      <w:numFmt w:val="lowerLetter"/>
      <w:lvlText w:val="%3)"/>
      <w:lvlJc w:val="left"/>
      <w:pPr>
        <w:ind w:left="2700" w:hanging="720"/>
      </w:pPr>
      <w:rPr>
        <w:rFonts w:hint="default"/>
      </w:rPr>
    </w:lvl>
    <w:lvl w:ilvl="3" w:tplc="C908CD18">
      <w:start w:val="2016"/>
      <w:numFmt w:val="bullet"/>
      <w:lvlText w:val="-"/>
      <w:lvlJc w:val="left"/>
      <w:pPr>
        <w:ind w:left="2880" w:hanging="360"/>
      </w:pPr>
      <w:rPr>
        <w:rFonts w:ascii="Times New Roman" w:eastAsia="Calibr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013340"/>
    <w:multiLevelType w:val="multilevel"/>
    <w:tmpl w:val="F63AC87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0275BC"/>
    <w:multiLevelType w:val="hybridMultilevel"/>
    <w:tmpl w:val="1BF600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4347A1F"/>
    <w:multiLevelType w:val="hybridMultilevel"/>
    <w:tmpl w:val="F2B0ECAA"/>
    <w:lvl w:ilvl="0" w:tplc="C95ECF7A">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4FA1A47"/>
    <w:multiLevelType w:val="multilevel"/>
    <w:tmpl w:val="9C0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BA25B3"/>
    <w:multiLevelType w:val="multilevel"/>
    <w:tmpl w:val="D86EA6A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697C66"/>
    <w:multiLevelType w:val="hybridMultilevel"/>
    <w:tmpl w:val="934C7582"/>
    <w:lvl w:ilvl="0" w:tplc="3F38BCC4">
      <w:start w:val="1"/>
      <w:numFmt w:val="decimal"/>
      <w:lvlText w:val="2.6.%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4937688"/>
    <w:multiLevelType w:val="hybridMultilevel"/>
    <w:tmpl w:val="52BEC39E"/>
    <w:lvl w:ilvl="0" w:tplc="9B442222">
      <w:start w:val="2"/>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8"/>
  </w:num>
  <w:num w:numId="3">
    <w:abstractNumId w:val="1"/>
  </w:num>
  <w:num w:numId="4">
    <w:abstractNumId w:val="17"/>
  </w:num>
  <w:num w:numId="5">
    <w:abstractNumId w:val="15"/>
  </w:num>
  <w:num w:numId="6">
    <w:abstractNumId w:val="11"/>
  </w:num>
  <w:num w:numId="7">
    <w:abstractNumId w:val="8"/>
  </w:num>
  <w:num w:numId="8">
    <w:abstractNumId w:val="9"/>
  </w:num>
  <w:num w:numId="9">
    <w:abstractNumId w:val="10"/>
  </w:num>
  <w:num w:numId="10">
    <w:abstractNumId w:val="2"/>
  </w:num>
  <w:num w:numId="11">
    <w:abstractNumId w:val="14"/>
  </w:num>
  <w:num w:numId="12">
    <w:abstractNumId w:val="3"/>
  </w:num>
  <w:num w:numId="13">
    <w:abstractNumId w:val="26"/>
  </w:num>
  <w:num w:numId="14">
    <w:abstractNumId w:val="4"/>
  </w:num>
  <w:num w:numId="15">
    <w:abstractNumId w:val="27"/>
  </w:num>
  <w:num w:numId="16">
    <w:abstractNumId w:val="5"/>
  </w:num>
  <w:num w:numId="17">
    <w:abstractNumId w:val="21"/>
  </w:num>
  <w:num w:numId="18">
    <w:abstractNumId w:val="31"/>
  </w:num>
  <w:num w:numId="19">
    <w:abstractNumId w:val="30"/>
  </w:num>
  <w:num w:numId="20">
    <w:abstractNumId w:val="24"/>
  </w:num>
  <w:num w:numId="21">
    <w:abstractNumId w:val="0"/>
  </w:num>
  <w:num w:numId="22">
    <w:abstractNumId w:val="23"/>
  </w:num>
  <w:num w:numId="23">
    <w:abstractNumId w:val="19"/>
  </w:num>
  <w:num w:numId="24">
    <w:abstractNumId w:val="22"/>
  </w:num>
  <w:num w:numId="25">
    <w:abstractNumId w:val="29"/>
  </w:num>
  <w:num w:numId="26">
    <w:abstractNumId w:val="25"/>
  </w:num>
  <w:num w:numId="27">
    <w:abstractNumId w:val="20"/>
  </w:num>
  <w:num w:numId="28">
    <w:abstractNumId w:val="16"/>
  </w:num>
  <w:num w:numId="29">
    <w:abstractNumId w:val="7"/>
  </w:num>
  <w:num w:numId="30">
    <w:abstractNumId w:val="6"/>
  </w:num>
  <w:num w:numId="31">
    <w:abstractNumId w:val="28"/>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3DE"/>
    <w:rsid w:val="00001C3E"/>
    <w:rsid w:val="0001408C"/>
    <w:rsid w:val="000206E4"/>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4185"/>
    <w:rsid w:val="0014567D"/>
    <w:rsid w:val="00150D16"/>
    <w:rsid w:val="001576F3"/>
    <w:rsid w:val="00163D73"/>
    <w:rsid w:val="00170B7E"/>
    <w:rsid w:val="00170DB8"/>
    <w:rsid w:val="0017491C"/>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525D7"/>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246E5"/>
    <w:rsid w:val="006403CC"/>
    <w:rsid w:val="00644BB9"/>
    <w:rsid w:val="00646AB4"/>
    <w:rsid w:val="00647A95"/>
    <w:rsid w:val="00651F05"/>
    <w:rsid w:val="00653891"/>
    <w:rsid w:val="00656CC8"/>
    <w:rsid w:val="00693FAF"/>
    <w:rsid w:val="006973EB"/>
    <w:rsid w:val="006A1F6A"/>
    <w:rsid w:val="006A5F4B"/>
    <w:rsid w:val="006A7444"/>
    <w:rsid w:val="006B48A2"/>
    <w:rsid w:val="006D7051"/>
    <w:rsid w:val="006E23EE"/>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803D6A"/>
    <w:rsid w:val="00804A04"/>
    <w:rsid w:val="008125BD"/>
    <w:rsid w:val="008136EB"/>
    <w:rsid w:val="00813C1C"/>
    <w:rsid w:val="00825A7E"/>
    <w:rsid w:val="0083659B"/>
    <w:rsid w:val="008447ED"/>
    <w:rsid w:val="008508F0"/>
    <w:rsid w:val="00857B1D"/>
    <w:rsid w:val="00882D1C"/>
    <w:rsid w:val="008B04A1"/>
    <w:rsid w:val="008C37A2"/>
    <w:rsid w:val="008C3A97"/>
    <w:rsid w:val="008C52C7"/>
    <w:rsid w:val="008C7E9D"/>
    <w:rsid w:val="008F0063"/>
    <w:rsid w:val="008F57B3"/>
    <w:rsid w:val="009564D7"/>
    <w:rsid w:val="0095693A"/>
    <w:rsid w:val="00957EF3"/>
    <w:rsid w:val="0096792E"/>
    <w:rsid w:val="009732FB"/>
    <w:rsid w:val="0097760C"/>
    <w:rsid w:val="0098722B"/>
    <w:rsid w:val="009A329F"/>
    <w:rsid w:val="009B412E"/>
    <w:rsid w:val="009C01E0"/>
    <w:rsid w:val="009C2430"/>
    <w:rsid w:val="009D327C"/>
    <w:rsid w:val="009D6AA4"/>
    <w:rsid w:val="009D77CB"/>
    <w:rsid w:val="009E4D3B"/>
    <w:rsid w:val="009F28BC"/>
    <w:rsid w:val="00A37C15"/>
    <w:rsid w:val="00A55B74"/>
    <w:rsid w:val="00A613EF"/>
    <w:rsid w:val="00A67D67"/>
    <w:rsid w:val="00A732B8"/>
    <w:rsid w:val="00A76263"/>
    <w:rsid w:val="00A80186"/>
    <w:rsid w:val="00A83081"/>
    <w:rsid w:val="00A87C80"/>
    <w:rsid w:val="00AC24D2"/>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44BD"/>
    <w:rsid w:val="00DE73CA"/>
    <w:rsid w:val="00DF1087"/>
    <w:rsid w:val="00DF39C8"/>
    <w:rsid w:val="00DF441F"/>
    <w:rsid w:val="00E205CB"/>
    <w:rsid w:val="00E26025"/>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C458C"/>
    <w:rsid w:val="00FD0AAF"/>
    <w:rsid w:val="00FD6293"/>
    <w:rsid w:val="00FD7D2A"/>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3843</Words>
  <Characters>21907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2026-10-01T07:51:00Z</dcterms:created>
  <dcterms:modified xsi:type="dcterms:W3CDTF">2026-10-01T07:51:00Z</dcterms:modified>
</cp:coreProperties>
</file>