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4" w:rsidRDefault="00F376D4" w:rsidP="00F376D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F376D4" w:rsidRDefault="00F376D4" w:rsidP="00F376D4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376D4" w:rsidRDefault="00F376D4" w:rsidP="00F376D4">
      <w:pPr>
        <w:spacing w:line="240" w:lineRule="auto"/>
        <w:ind w:left="1134" w:hanging="1134"/>
        <w:jc w:val="both"/>
      </w:pPr>
      <w:proofErr w:type="gramStart"/>
      <w:r>
        <w:rPr>
          <w:rFonts w:ascii="Times New Roman" w:hAnsi="Times New Roman"/>
          <w:sz w:val="24"/>
          <w:szCs w:val="24"/>
        </w:rPr>
        <w:t>Abbas.</w:t>
      </w:r>
      <w:proofErr w:type="gramEnd"/>
      <w:r>
        <w:rPr>
          <w:rFonts w:ascii="Times New Roman" w:hAnsi="Times New Roman"/>
          <w:sz w:val="24"/>
          <w:szCs w:val="24"/>
        </w:rPr>
        <w:t xml:space="preserve"> (2010). Mixed methods research.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http://batukehidupan.blogspot.com/2015/11/mixed-methods-reserch.html?m=1</w:t>
        </w:r>
      </w:hyperlink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Alindra</w:t>
      </w:r>
      <w:proofErr w:type="spellEnd"/>
      <w:r>
        <w:rPr>
          <w:rFonts w:ascii="Times New Roman" w:hAnsi="Times New Roman"/>
          <w:sz w:val="24"/>
          <w:szCs w:val="24"/>
        </w:rPr>
        <w:t xml:space="preserve">, A. L. (2018).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, I (1), 23-29. 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>, S. (2010).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Bungin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/>
          <w:sz w:val="24"/>
          <w:szCs w:val="24"/>
        </w:rPr>
        <w:t>Metodologi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 Group.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Creswell, J. W. (2009). Research Design Qualitative, </w:t>
      </w:r>
      <w:proofErr w:type="gramStart"/>
      <w:r>
        <w:rPr>
          <w:rFonts w:ascii="Times New Roman" w:hAnsi="Times New Roman"/>
          <w:sz w:val="24"/>
          <w:szCs w:val="24"/>
        </w:rPr>
        <w:t>Quantitative,</w:t>
      </w:r>
      <w:proofErr w:type="gramEnd"/>
      <w:r>
        <w:rPr>
          <w:rFonts w:ascii="Times New Roman" w:hAnsi="Times New Roman"/>
          <w:sz w:val="24"/>
          <w:szCs w:val="24"/>
        </w:rPr>
        <w:t xml:space="preserve"> and Mix Methods.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Achmad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Fawaid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2014. 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eastAsia="Calibri" w:hAnsi="Times New Roman"/>
          <w:spacing w:val="-2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D</w:t>
      </w:r>
      <w:r>
        <w:rPr>
          <w:rFonts w:ascii="Times New Roman" w:eastAsia="Calibri" w:hAnsi="Times New Roman"/>
          <w:spacing w:val="2"/>
          <w:sz w:val="24"/>
          <w:szCs w:val="24"/>
        </w:rPr>
        <w:t>i</w:t>
      </w:r>
      <w:r>
        <w:rPr>
          <w:rFonts w:ascii="Times New Roman" w:eastAsia="Calibri" w:hAnsi="Times New Roman"/>
          <w:spacing w:val="-1"/>
          <w:sz w:val="24"/>
          <w:szCs w:val="24"/>
        </w:rPr>
        <w:t>my</w:t>
      </w:r>
      <w:r>
        <w:rPr>
          <w:rFonts w:ascii="Times New Roman" w:eastAsia="Calibri" w:hAnsi="Times New Roman"/>
          <w:sz w:val="24"/>
          <w:szCs w:val="24"/>
        </w:rPr>
        <w:t>ati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pacing w:val="1"/>
          <w:sz w:val="24"/>
          <w:szCs w:val="24"/>
        </w:rPr>
        <w:t>d</w:t>
      </w:r>
      <w:r>
        <w:rPr>
          <w:rFonts w:ascii="Times New Roman" w:eastAsia="Calibri" w:hAnsi="Times New Roman"/>
          <w:sz w:val="24"/>
          <w:szCs w:val="24"/>
        </w:rPr>
        <w:t>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pacing w:val="3"/>
          <w:sz w:val="24"/>
          <w:szCs w:val="24"/>
        </w:rPr>
        <w:t>M</w:t>
      </w:r>
      <w:r>
        <w:rPr>
          <w:rFonts w:ascii="Times New Roman" w:eastAsia="Calibri" w:hAnsi="Times New Roman"/>
          <w:spacing w:val="-1"/>
          <w:sz w:val="24"/>
          <w:szCs w:val="24"/>
        </w:rPr>
        <w:t>u</w:t>
      </w:r>
      <w:r>
        <w:rPr>
          <w:rFonts w:ascii="Times New Roman" w:eastAsia="Calibri" w:hAnsi="Times New Roman"/>
          <w:spacing w:val="1"/>
          <w:sz w:val="24"/>
          <w:szCs w:val="24"/>
        </w:rPr>
        <w:t>d</w:t>
      </w:r>
      <w:r>
        <w:rPr>
          <w:rFonts w:ascii="Times New Roman" w:eastAsia="Calibri" w:hAnsi="Times New Roman"/>
          <w:spacing w:val="2"/>
          <w:sz w:val="24"/>
          <w:szCs w:val="24"/>
        </w:rPr>
        <w:t>j</w:t>
      </w:r>
      <w:r>
        <w:rPr>
          <w:rFonts w:ascii="Times New Roman" w:eastAsia="Calibri" w:hAnsi="Times New Roman"/>
          <w:sz w:val="24"/>
          <w:szCs w:val="24"/>
        </w:rPr>
        <w:t>i</w:t>
      </w:r>
      <w:r>
        <w:rPr>
          <w:rFonts w:ascii="Times New Roman" w:eastAsia="Calibri" w:hAnsi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/>
          <w:spacing w:val="-1"/>
          <w:sz w:val="24"/>
          <w:szCs w:val="24"/>
        </w:rPr>
        <w:t>n</w:t>
      </w:r>
      <w:r>
        <w:rPr>
          <w:rFonts w:ascii="Times New Roman" w:eastAsia="Calibri" w:hAnsi="Times New Roman"/>
          <w:spacing w:val="1"/>
          <w:sz w:val="24"/>
          <w:szCs w:val="24"/>
        </w:rPr>
        <w:t>o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(2006).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Bel</w:t>
      </w:r>
      <w:r>
        <w:rPr>
          <w:rFonts w:ascii="Times New Roman" w:eastAsia="Calibri" w:hAnsi="Times New Roman"/>
          <w:iCs/>
          <w:spacing w:val="2"/>
          <w:sz w:val="24"/>
          <w:szCs w:val="24"/>
        </w:rPr>
        <w:t>a</w:t>
      </w:r>
      <w:r>
        <w:rPr>
          <w:rFonts w:ascii="Times New Roman" w:eastAsia="Calibri" w:hAnsi="Times New Roman"/>
          <w:iCs/>
          <w:spacing w:val="-3"/>
          <w:sz w:val="24"/>
          <w:szCs w:val="24"/>
        </w:rPr>
        <w:t>j</w:t>
      </w:r>
      <w:r>
        <w:rPr>
          <w:rFonts w:ascii="Times New Roman" w:eastAsia="Calibri" w:hAnsi="Times New Roman"/>
          <w:iCs/>
          <w:spacing w:val="1"/>
          <w:sz w:val="24"/>
          <w:szCs w:val="24"/>
        </w:rPr>
        <w:t>a</w:t>
      </w:r>
      <w:r>
        <w:rPr>
          <w:rFonts w:ascii="Times New Roman" w:eastAsia="Calibri" w:hAnsi="Times New Roman"/>
          <w:iCs/>
          <w:sz w:val="24"/>
          <w:szCs w:val="24"/>
        </w:rPr>
        <w:t>r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Cs/>
          <w:spacing w:val="1"/>
          <w:sz w:val="24"/>
          <w:szCs w:val="24"/>
        </w:rPr>
        <w:t>da</w:t>
      </w:r>
      <w:r>
        <w:rPr>
          <w:rFonts w:ascii="Times New Roman" w:eastAsia="Calibri" w:hAnsi="Times New Roman"/>
          <w:iCs/>
          <w:sz w:val="24"/>
          <w:szCs w:val="24"/>
        </w:rPr>
        <w:t>n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Pem</w:t>
      </w:r>
      <w:r>
        <w:rPr>
          <w:rFonts w:ascii="Times New Roman" w:eastAsia="Calibri" w:hAnsi="Times New Roman"/>
          <w:iCs/>
          <w:spacing w:val="2"/>
          <w:sz w:val="24"/>
          <w:szCs w:val="24"/>
        </w:rPr>
        <w:t>b</w:t>
      </w:r>
      <w:r>
        <w:rPr>
          <w:rFonts w:ascii="Times New Roman" w:eastAsia="Calibri" w:hAnsi="Times New Roman"/>
          <w:iCs/>
          <w:sz w:val="24"/>
          <w:szCs w:val="24"/>
        </w:rPr>
        <w:t>el</w:t>
      </w:r>
      <w:r>
        <w:rPr>
          <w:rFonts w:ascii="Times New Roman" w:eastAsia="Calibri" w:hAnsi="Times New Roman"/>
          <w:iCs/>
          <w:spacing w:val="1"/>
          <w:sz w:val="24"/>
          <w:szCs w:val="24"/>
        </w:rPr>
        <w:t>a</w:t>
      </w:r>
      <w:r>
        <w:rPr>
          <w:rFonts w:ascii="Times New Roman" w:eastAsia="Calibri" w:hAnsi="Times New Roman"/>
          <w:iCs/>
          <w:sz w:val="24"/>
          <w:szCs w:val="24"/>
        </w:rPr>
        <w:t>j</w:t>
      </w:r>
      <w:r>
        <w:rPr>
          <w:rFonts w:ascii="Times New Roman" w:eastAsia="Calibri" w:hAnsi="Times New Roman"/>
          <w:iCs/>
          <w:spacing w:val="1"/>
          <w:sz w:val="24"/>
          <w:szCs w:val="24"/>
        </w:rPr>
        <w:t>a</w:t>
      </w:r>
      <w:r>
        <w:rPr>
          <w:rFonts w:ascii="Times New Roman" w:eastAsia="Calibri" w:hAnsi="Times New Roman"/>
          <w:iCs/>
          <w:spacing w:val="-1"/>
          <w:sz w:val="24"/>
          <w:szCs w:val="24"/>
        </w:rPr>
        <w:t>r</w:t>
      </w:r>
      <w:r>
        <w:rPr>
          <w:rFonts w:ascii="Times New Roman" w:eastAsia="Calibri" w:hAnsi="Times New Roman"/>
          <w:iCs/>
          <w:spacing w:val="1"/>
          <w:sz w:val="24"/>
          <w:szCs w:val="24"/>
        </w:rPr>
        <w:t>a</w:t>
      </w:r>
      <w:r>
        <w:rPr>
          <w:rFonts w:ascii="Times New Roman" w:eastAsia="Calibri" w:hAnsi="Times New Roman"/>
          <w:iCs/>
          <w:sz w:val="24"/>
          <w:szCs w:val="24"/>
        </w:rPr>
        <w:t>n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2"/>
          <w:sz w:val="24"/>
          <w:szCs w:val="24"/>
        </w:rPr>
        <w:t>J</w:t>
      </w:r>
      <w:r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pacing w:val="-1"/>
          <w:sz w:val="24"/>
          <w:szCs w:val="24"/>
        </w:rPr>
        <w:t>k</w:t>
      </w:r>
      <w:r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pacing w:val="1"/>
          <w:sz w:val="24"/>
          <w:szCs w:val="24"/>
        </w:rPr>
        <w:t>r</w:t>
      </w:r>
      <w:r>
        <w:rPr>
          <w:rFonts w:ascii="Times New Roman" w:eastAsia="Calibri" w:hAnsi="Times New Roman"/>
          <w:sz w:val="24"/>
          <w:szCs w:val="24"/>
        </w:rPr>
        <w:t xml:space="preserve">ta: </w:t>
      </w:r>
      <w:proofErr w:type="spellStart"/>
      <w:r>
        <w:rPr>
          <w:rFonts w:ascii="Times New Roman" w:eastAsia="Calibri" w:hAnsi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/>
          <w:sz w:val="24"/>
          <w:szCs w:val="24"/>
        </w:rPr>
        <w:t>i</w:t>
      </w:r>
      <w:r>
        <w:rPr>
          <w:rFonts w:ascii="Times New Roman" w:eastAsia="Calibri" w:hAnsi="Times New Roman"/>
          <w:spacing w:val="-1"/>
          <w:sz w:val="24"/>
          <w:szCs w:val="24"/>
        </w:rPr>
        <w:t>n</w:t>
      </w:r>
      <w:r>
        <w:rPr>
          <w:rFonts w:ascii="Times New Roman" w:eastAsia="Calibri" w:hAnsi="Times New Roman"/>
          <w:spacing w:val="3"/>
          <w:sz w:val="24"/>
          <w:szCs w:val="24"/>
        </w:rPr>
        <w:t>e</w:t>
      </w:r>
      <w:r>
        <w:rPr>
          <w:rFonts w:ascii="Times New Roman" w:eastAsia="Calibri" w:hAnsi="Times New Roman"/>
          <w:spacing w:val="-1"/>
          <w:sz w:val="24"/>
          <w:szCs w:val="24"/>
        </w:rPr>
        <w:t>k</w:t>
      </w:r>
      <w:r>
        <w:rPr>
          <w:rFonts w:ascii="Times New Roman" w:eastAsia="Calibri" w:hAnsi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i</w:t>
      </w:r>
      <w:r>
        <w:rPr>
          <w:rFonts w:ascii="Times New Roman" w:eastAsia="Calibri" w:hAnsi="Times New Roman"/>
          <w:spacing w:val="1"/>
          <w:sz w:val="24"/>
          <w:szCs w:val="24"/>
        </w:rPr>
        <w:t>p</w:t>
      </w:r>
      <w:r>
        <w:rPr>
          <w:rFonts w:ascii="Times New Roman" w:eastAsia="Calibri" w:hAnsi="Times New Roman"/>
          <w:sz w:val="24"/>
          <w:szCs w:val="24"/>
        </w:rPr>
        <w:t>ta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Djamarah</w:t>
      </w:r>
      <w:proofErr w:type="spellEnd"/>
      <w:r>
        <w:rPr>
          <w:rFonts w:ascii="Times New Roman" w:hAnsi="Times New Roman"/>
          <w:sz w:val="24"/>
          <w:szCs w:val="24"/>
        </w:rPr>
        <w:t xml:space="preserve">, S.B.,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</w:t>
      </w:r>
      <w:proofErr w:type="spellEnd"/>
      <w:r>
        <w:rPr>
          <w:rFonts w:ascii="Times New Roman" w:hAnsi="Times New Roman"/>
          <w:sz w:val="24"/>
          <w:szCs w:val="24"/>
        </w:rPr>
        <w:t xml:space="preserve">, Aswan. </w:t>
      </w:r>
      <w:proofErr w:type="gramStart"/>
      <w:r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Djamarah</w:t>
      </w:r>
      <w:proofErr w:type="spellEnd"/>
      <w:r>
        <w:rPr>
          <w:rFonts w:ascii="Times New Roman" w:hAnsi="Times New Roman"/>
          <w:sz w:val="24"/>
          <w:szCs w:val="24"/>
        </w:rPr>
        <w:t xml:space="preserve">, S.B.,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Syaiful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/>
          <w:sz w:val="24"/>
          <w:szCs w:val="24"/>
        </w:rPr>
        <w:t xml:space="preserve"> Surabaya: Usaha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Gulo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https://materibelajar.co.id/pengertian-sampel-menurut-para-ahli/ 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Gunadi</w:t>
      </w:r>
      <w:proofErr w:type="spellEnd"/>
      <w:r>
        <w:rPr>
          <w:rFonts w:ascii="Times New Roman" w:hAnsi="Times New Roman"/>
          <w:sz w:val="24"/>
          <w:szCs w:val="24"/>
        </w:rPr>
        <w:t xml:space="preserve">, I. (2016). Education And Development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Student’s Character Based On Personality Genetic. </w:t>
      </w:r>
      <w:proofErr w:type="gramStart"/>
      <w:r>
        <w:rPr>
          <w:rFonts w:ascii="Times New Roman" w:hAnsi="Times New Roman"/>
          <w:i/>
          <w:sz w:val="24"/>
          <w:szCs w:val="24"/>
        </w:rPr>
        <w:t>Proceeding International Conference On Education And Training</w:t>
      </w:r>
      <w:r>
        <w:rPr>
          <w:rFonts w:ascii="Times New Roman" w:hAnsi="Times New Roman"/>
          <w:sz w:val="24"/>
          <w:szCs w:val="24"/>
        </w:rPr>
        <w:t>, 410-416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Hamdani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Kemdikbud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2017.</w:t>
      </w:r>
    </w:p>
    <w:p w:rsidR="00F376D4" w:rsidRDefault="00F376D4" w:rsidP="00F376D4">
      <w:pPr>
        <w:spacing w:line="240" w:lineRule="auto"/>
        <w:ind w:left="1134" w:hanging="1134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Majid</w:t>
      </w:r>
      <w:proofErr w:type="spellEnd"/>
      <w:r>
        <w:rPr>
          <w:rFonts w:ascii="Times New Roman" w:hAnsi="Times New Roman"/>
          <w:sz w:val="24"/>
          <w:szCs w:val="24"/>
        </w:rPr>
        <w:t xml:space="preserve">, Abdul.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Miles, M. B. &amp; </w:t>
      </w:r>
      <w:proofErr w:type="spellStart"/>
      <w:r>
        <w:rPr>
          <w:rFonts w:ascii="Times New Roman" w:hAnsi="Times New Roman"/>
          <w:sz w:val="24"/>
          <w:szCs w:val="24"/>
        </w:rPr>
        <w:t>Huberman</w:t>
      </w:r>
      <w:proofErr w:type="spellEnd"/>
      <w:r>
        <w:rPr>
          <w:rFonts w:ascii="Times New Roman" w:hAnsi="Times New Roman"/>
          <w:sz w:val="24"/>
          <w:szCs w:val="24"/>
        </w:rPr>
        <w:t>, M. A. (1992).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Moleong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Lexy</w:t>
      </w:r>
      <w:proofErr w:type="spellEnd"/>
      <w:r>
        <w:rPr>
          <w:rFonts w:ascii="Times New Roman" w:hAnsi="Times New Roman"/>
          <w:sz w:val="24"/>
          <w:szCs w:val="24"/>
        </w:rPr>
        <w:t xml:space="preserve"> J. (2007).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Mulyasa</w:t>
      </w:r>
      <w:proofErr w:type="spellEnd"/>
      <w:r>
        <w:rPr>
          <w:rFonts w:ascii="Times New Roman" w:hAnsi="Times New Roman"/>
          <w:sz w:val="24"/>
          <w:szCs w:val="24"/>
        </w:rPr>
        <w:t xml:space="preserve"> E. (2007).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Guru Prof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essional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5633" w:rsidRDefault="00BA5633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  <w:sectPr w:rsidR="00BA5633" w:rsidSect="00BA5633">
          <w:foot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708" w:footer="708" w:gutter="0"/>
          <w:pgNumType w:start="95"/>
          <w:cols w:space="708"/>
          <w:docGrid w:linePitch="360"/>
        </w:sectPr>
      </w:pP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Nisa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Hairun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(2017). </w:t>
      </w:r>
      <w:proofErr w:type="spellStart"/>
      <w:r>
        <w:rPr>
          <w:rFonts w:ascii="Times New Roman" w:hAnsi="Times New Roman"/>
          <w:sz w:val="24"/>
          <w:szCs w:val="24"/>
        </w:rPr>
        <w:t>Macam-macam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kelebihan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F1C0D">
        <w:fldChar w:fldCharType="begin"/>
      </w:r>
      <w:r w:rsidR="00FF1C0D">
        <w:instrText xml:space="preserve"> HYPERLINK "https://tekooneko.com/macam-macam-metode-pembelajaran/"</w:instrText>
      </w:r>
      <w:r w:rsidR="00FF1C0D">
        <w:instrText xml:space="preserve"> </w:instrText>
      </w:r>
      <w:r w:rsidR="00FF1C0D"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https://tekooneko.com/macam-macam-metode-pembelajaran/</w:t>
      </w:r>
      <w:r w:rsidR="00FF1C0D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Nistiningtyas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 di SMP IT Al-</w:t>
      </w:r>
      <w:proofErr w:type="spellStart"/>
      <w:r>
        <w:rPr>
          <w:rFonts w:ascii="Times New Roman" w:hAnsi="Times New Roman"/>
          <w:sz w:val="24"/>
          <w:szCs w:val="24"/>
        </w:rPr>
        <w:t>Amri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Probolinggo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Undergraduate thesis, UIN </w:t>
      </w:r>
      <w:proofErr w:type="spellStart"/>
      <w:r>
        <w:rPr>
          <w:rFonts w:ascii="Times New Roman" w:hAnsi="Times New Roman"/>
          <w:sz w:val="24"/>
          <w:szCs w:val="24"/>
        </w:rPr>
        <w:t>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Ampel</w:t>
      </w:r>
      <w:proofErr w:type="spellEnd"/>
      <w:r>
        <w:rPr>
          <w:rFonts w:ascii="Times New Roman" w:hAnsi="Times New Roman"/>
          <w:sz w:val="24"/>
          <w:szCs w:val="24"/>
        </w:rPr>
        <w:t xml:space="preserve"> Surabaya.</w:t>
      </w:r>
      <w:proofErr w:type="gramEnd"/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Nunuk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Leo.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Ombak</w:t>
      </w:r>
      <w:proofErr w:type="spellEnd"/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Farid</w:t>
      </w:r>
      <w:proofErr w:type="spellEnd"/>
      <w:r>
        <w:rPr>
          <w:rFonts w:ascii="Times New Roman" w:hAnsi="Times New Roman"/>
          <w:sz w:val="24"/>
          <w:szCs w:val="24"/>
        </w:rPr>
        <w:t xml:space="preserve">. (2010). </w:t>
      </w:r>
      <w:proofErr w:type="spellStart"/>
      <w:r>
        <w:rPr>
          <w:rFonts w:ascii="Times New Roman" w:hAnsi="Times New Roman"/>
          <w:sz w:val="24"/>
          <w:szCs w:val="24"/>
        </w:rPr>
        <w:t>STIFIn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Personality: </w:t>
      </w:r>
      <w:proofErr w:type="spellStart"/>
      <w:r>
        <w:rPr>
          <w:rFonts w:ascii="Times New Roman" w:hAnsi="Times New Roman"/>
          <w:sz w:val="24"/>
          <w:szCs w:val="24"/>
        </w:rPr>
        <w:t>Mengenali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/>
          <w:sz w:val="24"/>
          <w:szCs w:val="24"/>
        </w:rPr>
        <w:t>STIFIn</w:t>
      </w:r>
      <w:proofErr w:type="spellEnd"/>
      <w:r>
        <w:rPr>
          <w:rFonts w:ascii="Times New Roman" w:hAnsi="Times New Roman"/>
          <w:sz w:val="24"/>
          <w:szCs w:val="24"/>
        </w:rPr>
        <w:t xml:space="preserve"> Fingerprints.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Poniman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Farid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>, A. M. (2013).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Palugada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STIFIn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STIFIn</w:t>
      </w:r>
      <w:proofErr w:type="spellEnd"/>
      <w:r>
        <w:rPr>
          <w:rFonts w:ascii="Times New Roman" w:hAnsi="Times New Roman"/>
          <w:sz w:val="24"/>
          <w:szCs w:val="24"/>
        </w:rPr>
        <w:t xml:space="preserve"> Institute.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Raymond J, </w:t>
      </w:r>
      <w:proofErr w:type="spellStart"/>
      <w:r>
        <w:rPr>
          <w:rFonts w:ascii="Times New Roman" w:hAnsi="Times New Roman"/>
          <w:sz w:val="24"/>
          <w:szCs w:val="24"/>
        </w:rPr>
        <w:t>Wlodkowski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Julid</w:t>
      </w:r>
      <w:proofErr w:type="spellEnd"/>
      <w:r>
        <w:rPr>
          <w:rFonts w:ascii="Times New Roman" w:hAnsi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/>
          <w:sz w:val="24"/>
          <w:szCs w:val="24"/>
        </w:rPr>
        <w:t>Jaynes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(2004). </w:t>
      </w:r>
      <w:proofErr w:type="spellStart"/>
      <w:r>
        <w:rPr>
          <w:rFonts w:ascii="Times New Roman" w:hAnsi="Times New Roman"/>
          <w:sz w:val="24"/>
          <w:szCs w:val="24"/>
        </w:rPr>
        <w:t>Hasrat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(72).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Roestiyah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Sardiman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https://uutpraharsiwi.blogspot.com/2016/09/pengertian-prestasi-belajar-menurut_29.html?m=1</w:t>
        </w:r>
      </w:hyperlink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Sarwito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Wirawan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Pers.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N. (2017). An investigation of classroom practices in teaching listening comprehension at English education program. </w:t>
      </w:r>
      <w:r>
        <w:rPr>
          <w:rFonts w:ascii="Times New Roman" w:hAnsi="Times New Roman"/>
          <w:i/>
          <w:sz w:val="24"/>
          <w:szCs w:val="24"/>
        </w:rPr>
        <w:t>Advances in Language and Literary Studies</w:t>
      </w:r>
      <w:r>
        <w:rPr>
          <w:rFonts w:ascii="Times New Roman" w:hAnsi="Times New Roman"/>
          <w:sz w:val="24"/>
          <w:szCs w:val="24"/>
        </w:rPr>
        <w:t>, 8(6), 105-111.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Slamento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Sobur</w:t>
      </w:r>
      <w:proofErr w:type="spellEnd"/>
      <w:r>
        <w:rPr>
          <w:rFonts w:ascii="Times New Roman" w:hAnsi="Times New Roman"/>
          <w:sz w:val="24"/>
          <w:szCs w:val="24"/>
        </w:rPr>
        <w:t xml:space="preserve">, Alex.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Sudijono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Pers.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(2011).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R&amp;D.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Sutiyono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Akhmad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Model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Di Bandar Lampung.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  <w:proofErr w:type="gramEnd"/>
    </w:p>
    <w:p w:rsidR="00F376D4" w:rsidRDefault="00F376D4" w:rsidP="00F376D4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Tamilnadu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(2010). </w:t>
      </w:r>
      <w:proofErr w:type="gramStart"/>
      <w:r>
        <w:rPr>
          <w:rFonts w:ascii="Times New Roman" w:hAnsi="Times New Roman"/>
          <w:sz w:val="24"/>
          <w:szCs w:val="24"/>
        </w:rPr>
        <w:t>Statistics :</w:t>
      </w:r>
      <w:proofErr w:type="gramEnd"/>
      <w:r>
        <w:rPr>
          <w:rFonts w:ascii="Times New Roman" w:hAnsi="Times New Roman"/>
          <w:sz w:val="24"/>
          <w:szCs w:val="24"/>
        </w:rPr>
        <w:t xml:space="preserve"> Higher secondary–First 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 year. </w:t>
      </w:r>
      <w:r>
        <w:rPr>
          <w:rFonts w:ascii="Times New Roman" w:hAnsi="Times New Roman"/>
          <w:i/>
          <w:sz w:val="24"/>
          <w:szCs w:val="24"/>
        </w:rPr>
        <w:t xml:space="preserve">Textbook Corporation College </w:t>
      </w:r>
      <w:proofErr w:type="gramStart"/>
      <w:r>
        <w:rPr>
          <w:rFonts w:ascii="Times New Roman" w:hAnsi="Times New Roman"/>
          <w:i/>
          <w:sz w:val="24"/>
          <w:szCs w:val="24"/>
        </w:rPr>
        <w:t>Road</w:t>
      </w:r>
      <w:r w:rsidR="003B4C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B4CFB">
        <w:rPr>
          <w:rFonts w:ascii="Times New Roman" w:hAnsi="Times New Roman"/>
          <w:sz w:val="24"/>
          <w:szCs w:val="24"/>
        </w:rPr>
        <w:t xml:space="preserve"> Chennai-600 006</w:t>
      </w:r>
    </w:p>
    <w:sectPr w:rsidR="00F376D4" w:rsidSect="00BA5633">
      <w:pgSz w:w="11907" w:h="16839" w:code="9"/>
      <w:pgMar w:top="2268" w:right="1701" w:bottom="1701" w:left="2268" w:header="708" w:footer="708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0D" w:rsidRDefault="00FF1C0D" w:rsidP="00F376D4">
      <w:pPr>
        <w:spacing w:after="0" w:line="240" w:lineRule="auto"/>
      </w:pPr>
      <w:r>
        <w:separator/>
      </w:r>
    </w:p>
  </w:endnote>
  <w:endnote w:type="continuationSeparator" w:id="0">
    <w:p w:rsidR="00FF1C0D" w:rsidRDefault="00FF1C0D" w:rsidP="00F3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7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633" w:rsidRDefault="00BA5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BA5633" w:rsidRDefault="00BA5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33" w:rsidRDefault="00BA5633">
    <w:pPr>
      <w:pStyle w:val="Footer"/>
      <w:jc w:val="center"/>
    </w:pPr>
  </w:p>
  <w:p w:rsidR="00BA5633" w:rsidRDefault="00BA5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0D" w:rsidRDefault="00FF1C0D" w:rsidP="00F376D4">
      <w:pPr>
        <w:spacing w:after="0" w:line="240" w:lineRule="auto"/>
      </w:pPr>
      <w:r>
        <w:separator/>
      </w:r>
    </w:p>
  </w:footnote>
  <w:footnote w:type="continuationSeparator" w:id="0">
    <w:p w:rsidR="00FF1C0D" w:rsidRDefault="00FF1C0D" w:rsidP="00F3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89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5633" w:rsidRDefault="00BA56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BA5633" w:rsidRDefault="00BA5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D4"/>
    <w:rsid w:val="003B4CFB"/>
    <w:rsid w:val="008C5460"/>
    <w:rsid w:val="00BA5633"/>
    <w:rsid w:val="00CE0AF3"/>
    <w:rsid w:val="00ED778D"/>
    <w:rsid w:val="00F376D4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D4"/>
    <w:pPr>
      <w:ind w:left="357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D4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F376D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D4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D4"/>
    <w:pPr>
      <w:ind w:left="357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D4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F376D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D4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ukehidupan.blogspot.com/2015/11/mixed-methods-reserch.html?m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utpraharsiwi.blogspot.com/2016/09/pengertian-prestasi-belajar-menurut_29.html?m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EC1A-B19F-44EE-A792-9188C7C8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3</cp:revision>
  <dcterms:created xsi:type="dcterms:W3CDTF">2021-08-23T06:17:00Z</dcterms:created>
  <dcterms:modified xsi:type="dcterms:W3CDTF">2021-08-23T06:35:00Z</dcterms:modified>
</cp:coreProperties>
</file>