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CF" w:rsidRDefault="00EA79CF" w:rsidP="00EA79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33" o:spid="_x0000_s1030" style="position:absolute;left:0;text-align:left;margin-left:373.85pt;margin-top:-46.55pt;width:22.6pt;height:23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CWfQIAAP0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" stroked="f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ABSTRAK </w:t>
      </w:r>
    </w:p>
    <w:p w:rsidR="00EA79CF" w:rsidRDefault="00EA79CF" w:rsidP="00EA79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9CF" w:rsidRPr="00843A27" w:rsidRDefault="00EA79CF" w:rsidP="00EA79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id-ID"/>
        </w:rPr>
      </w:pPr>
    </w:p>
    <w:p w:rsidR="00EA79CF" w:rsidRDefault="00EA79CF" w:rsidP="00EA79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Depidayanti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CF" w:rsidRDefault="00EA79CF" w:rsidP="00EA79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153224146</w:t>
      </w:r>
    </w:p>
    <w:p w:rsidR="00EA79CF" w:rsidRDefault="00EA79CF" w:rsidP="00EA79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CF" w:rsidRDefault="00EA79CF" w:rsidP="00EA79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CF" w:rsidRDefault="00EA79CF" w:rsidP="00EA79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Tiara, S.E,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M. Si</w:t>
      </w:r>
    </w:p>
    <w:p w:rsidR="00EA79CF" w:rsidRDefault="00EA79CF" w:rsidP="00EA79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CF" w:rsidRDefault="00EA79CF" w:rsidP="00EA79CF">
      <w:pPr>
        <w:tabs>
          <w:tab w:val="left" w:pos="1701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PSAK No.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Kota Medan)  </w:t>
      </w:r>
    </w:p>
    <w:p w:rsidR="00EA79CF" w:rsidRDefault="00EA79CF" w:rsidP="00EA79C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CF" w:rsidRDefault="00EA79CF" w:rsidP="00EA7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71B2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(PSAK) No. 36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Medan</w:t>
      </w:r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PSAK No.36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B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PSAK No.36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</w:t>
      </w:r>
      <w:r w:rsidRPr="00071B2A">
        <w:rPr>
          <w:rFonts w:ascii="Times New Roman" w:hAnsi="Times New Roman" w:cs="Times New Roman"/>
          <w:sz w:val="24"/>
          <w:szCs w:val="24"/>
        </w:rPr>
        <w:t>Medan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B2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Medan</w:t>
      </w:r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memb</w:t>
      </w:r>
      <w:r>
        <w:rPr>
          <w:rFonts w:ascii="Times New Roman" w:hAnsi="Times New Roman" w:cs="Times New Roman"/>
          <w:sz w:val="24"/>
          <w:szCs w:val="24"/>
        </w:rPr>
        <w:t>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71B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Medan</w:t>
      </w:r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PSAK No.36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2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B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CF" w:rsidRPr="00071B2A" w:rsidRDefault="00EA79CF" w:rsidP="00EA7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A79CF" w:rsidRDefault="00EA79CF" w:rsidP="00EA79CF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Medan</w:t>
      </w:r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9CF" w:rsidRDefault="00EA79CF" w:rsidP="00EA79CF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B2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polis. </w:t>
      </w:r>
    </w:p>
    <w:p w:rsidR="00EA79CF" w:rsidRDefault="00EA79CF" w:rsidP="00EA79CF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071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9CF" w:rsidRDefault="00EA79CF" w:rsidP="00EA7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CF" w:rsidRDefault="00EA79CF" w:rsidP="00EA7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proofErr w:type="spellStart"/>
      <w:r w:rsidRPr="00071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Kata</w:t>
      </w:r>
      <w:proofErr w:type="spellEnd"/>
      <w:r w:rsidRPr="00071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071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Kunci</w:t>
      </w:r>
      <w:proofErr w:type="spellEnd"/>
      <w:r w:rsidRPr="00071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071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71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Pendapatan</w:t>
      </w:r>
      <w:proofErr w:type="spellEnd"/>
      <w:r w:rsidRPr="00071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71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Beban</w:t>
      </w:r>
      <w:proofErr w:type="spellEnd"/>
      <w:r w:rsidRPr="00071B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Pr="008C6CC5" w:rsidRDefault="00EA79CF" w:rsidP="00EA79C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02124"/>
          <w:sz w:val="24"/>
          <w:szCs w:val="24"/>
        </w:rPr>
        <w:pict>
          <v:rect id="Rectangle 74" o:spid="_x0000_s1029" style="position:absolute;left:0;text-align:left;margin-left:373.85pt;margin-top:-46.55pt;width:22.6pt;height:2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" stroked="f"/>
        </w:pict>
      </w:r>
      <w:r w:rsidRPr="00071B2A"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</w:rPr>
        <w:t>ABSTRACT</w:t>
      </w:r>
    </w:p>
    <w:p w:rsidR="00EA79CF" w:rsidRPr="004A3D3C" w:rsidRDefault="00EA79CF" w:rsidP="00EA79C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i/>
          <w:iCs/>
          <w:color w:val="202124"/>
          <w:sz w:val="20"/>
          <w:lang w:val="id-ID"/>
        </w:rPr>
      </w:pPr>
    </w:p>
    <w:p w:rsidR="00EA79CF" w:rsidRPr="004607F2" w:rsidRDefault="00EA79CF" w:rsidP="00EA79CF">
      <w:pPr>
        <w:shd w:val="clear" w:color="auto" w:fill="FFFFFF" w:themeFill="background1"/>
        <w:tabs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Name</w:t>
      </w: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ab/>
      </w:r>
      <w:r w:rsidRPr="00783F19">
        <w:rPr>
          <w:rFonts w:ascii="Times New Roman" w:eastAsia="Times New Roman" w:hAnsi="Times New Roman" w:cs="Times New Roman"/>
          <w:iCs/>
          <w:color w:val="202124"/>
          <w:sz w:val="24"/>
          <w:szCs w:val="24"/>
        </w:rPr>
        <w:t>:</w:t>
      </w: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 xml:space="preserve"> 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Depidayanti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Nasution</w:t>
      </w:r>
      <w:proofErr w:type="spellEnd"/>
    </w:p>
    <w:p w:rsidR="00EA79CF" w:rsidRPr="004607F2" w:rsidRDefault="00EA79CF" w:rsidP="00EA79CF">
      <w:pPr>
        <w:shd w:val="clear" w:color="auto" w:fill="FFFFFF" w:themeFill="background1"/>
        <w:tabs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NPM</w:t>
      </w: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ab/>
      </w:r>
      <w:r w:rsidRPr="00783F19">
        <w:rPr>
          <w:rFonts w:ascii="Times New Roman" w:eastAsia="Times New Roman" w:hAnsi="Times New Roman" w:cs="Times New Roman"/>
          <w:iCs/>
          <w:color w:val="202124"/>
          <w:sz w:val="24"/>
          <w:szCs w:val="24"/>
        </w:rPr>
        <w:t>:</w:t>
      </w: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 xml:space="preserve">  </w:t>
      </w: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153224146</w:t>
      </w:r>
    </w:p>
    <w:p w:rsidR="00EA79CF" w:rsidRPr="004607F2" w:rsidRDefault="00EA79CF" w:rsidP="00EA79CF">
      <w:pPr>
        <w:shd w:val="clear" w:color="auto" w:fill="FFFFFF" w:themeFill="background1"/>
        <w:tabs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Faculty </w:t>
      </w: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Of</w:t>
      </w: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ab/>
      </w:r>
      <w:r w:rsidRPr="00783F19">
        <w:rPr>
          <w:rFonts w:ascii="Times New Roman" w:eastAsia="Times New Roman" w:hAnsi="Times New Roman" w:cs="Times New Roman"/>
          <w:iCs/>
          <w:color w:val="202124"/>
          <w:sz w:val="24"/>
          <w:szCs w:val="24"/>
        </w:rPr>
        <w:t>:</w:t>
      </w: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 xml:space="preserve"> </w:t>
      </w: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Economics</w:t>
      </w:r>
    </w:p>
    <w:p w:rsidR="00EA79CF" w:rsidRPr="004607F2" w:rsidRDefault="00EA79CF" w:rsidP="00EA79CF">
      <w:pPr>
        <w:shd w:val="clear" w:color="auto" w:fill="FFFFFF" w:themeFill="background1"/>
        <w:tabs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Majors</w:t>
      </w: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ab/>
      </w:r>
      <w:r w:rsidRPr="00783F19">
        <w:rPr>
          <w:rFonts w:ascii="Times New Roman" w:eastAsia="Times New Roman" w:hAnsi="Times New Roman" w:cs="Times New Roman"/>
          <w:iCs/>
          <w:color w:val="202124"/>
          <w:sz w:val="24"/>
          <w:szCs w:val="24"/>
        </w:rPr>
        <w:t>:</w:t>
      </w: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 xml:space="preserve"> </w:t>
      </w: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Accounting </w:t>
      </w:r>
    </w:p>
    <w:p w:rsidR="00EA79CF" w:rsidRDefault="00EA79CF" w:rsidP="00EA79CF">
      <w:pPr>
        <w:shd w:val="clear" w:color="auto" w:fill="FFFFFF" w:themeFill="background1"/>
        <w:tabs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</w:pP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Advisors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 xml:space="preserve"> 1</w:t>
      </w: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ab/>
      </w:r>
      <w:r w:rsidRPr="00783F19">
        <w:rPr>
          <w:rFonts w:ascii="Times New Roman" w:eastAsia="Times New Roman" w:hAnsi="Times New Roman" w:cs="Times New Roman"/>
          <w:iCs/>
          <w:color w:val="20212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 xml:space="preserve">  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Shita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Tiara, S.E, </w:t>
      </w:r>
      <w:proofErr w:type="spellStart"/>
      <w:proofErr w:type="gram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Ak</w:t>
      </w:r>
      <w:proofErr w:type="spellEnd"/>
      <w:proofErr w:type="gram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, M. Si</w:t>
      </w:r>
    </w:p>
    <w:p w:rsidR="00EA79CF" w:rsidRPr="004607F2" w:rsidRDefault="00EA79CF" w:rsidP="00EA79CF">
      <w:pPr>
        <w:shd w:val="clear" w:color="auto" w:fill="FFFFFF" w:themeFill="background1"/>
        <w:tabs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>Advisor 2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ab/>
      </w:r>
      <w:r w:rsidRPr="00783F19">
        <w:rPr>
          <w:rFonts w:ascii="Times New Roman" w:eastAsia="Times New Roman" w:hAnsi="Times New Roman" w:cs="Times New Roman"/>
          <w:iCs/>
          <w:color w:val="202124"/>
          <w:sz w:val="24"/>
          <w:szCs w:val="24"/>
          <w:lang w:val="id-ID"/>
        </w:rPr>
        <w:t>: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 xml:space="preserve">  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Murni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Dahlena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Nst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, SE, M. </w:t>
      </w:r>
      <w:proofErr w:type="spellStart"/>
      <w:proofErr w:type="gram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Ak</w:t>
      </w:r>
      <w:proofErr w:type="spellEnd"/>
      <w:proofErr w:type="gramEnd"/>
    </w:p>
    <w:p w:rsidR="00EA79CF" w:rsidRPr="004607F2" w:rsidRDefault="00EA79CF" w:rsidP="00EA79CF">
      <w:pPr>
        <w:shd w:val="clear" w:color="auto" w:fill="FFFFFF" w:themeFill="background1"/>
        <w:tabs>
          <w:tab w:val="left" w:pos="1701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Research Title</w:t>
      </w: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ab/>
      </w:r>
      <w:r w:rsidRPr="00783F19">
        <w:rPr>
          <w:rFonts w:ascii="Times New Roman" w:eastAsia="Times New Roman" w:hAnsi="Times New Roman" w:cs="Times New Roman"/>
          <w:iCs/>
          <w:color w:val="202124"/>
          <w:sz w:val="24"/>
          <w:szCs w:val="24"/>
        </w:rPr>
        <w:t>:</w:t>
      </w: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 xml:space="preserve">  </w:t>
      </w: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Analysis of PSAK No. 36 </w:t>
      </w:r>
      <w:proofErr w:type="gram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About</w:t>
      </w:r>
      <w:proofErr w:type="gram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Life Insurance (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StudyCase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 xml:space="preserve"> </w:t>
      </w:r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PT. 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id-ID"/>
        </w:rPr>
        <w:t xml:space="preserve">  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Sequis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Life Insurance in Medan City)</w:t>
      </w:r>
    </w:p>
    <w:p w:rsidR="00EA79CF" w:rsidRPr="004A3D3C" w:rsidRDefault="00EA79CF" w:rsidP="00EA79CF">
      <w:pPr>
        <w:shd w:val="clear" w:color="auto" w:fill="FFFFFF" w:themeFill="background1"/>
        <w:tabs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i/>
          <w:iCs/>
          <w:color w:val="202124"/>
          <w:sz w:val="16"/>
          <w:szCs w:val="24"/>
        </w:rPr>
      </w:pPr>
    </w:p>
    <w:p w:rsidR="00EA79CF" w:rsidRPr="00071B2A" w:rsidRDefault="00EA79CF" w:rsidP="00EA79CF">
      <w:pPr>
        <w:shd w:val="clear" w:color="auto" w:fill="FFFFFF" w:themeFill="background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ab/>
      </w:r>
      <w:proofErr w:type="gram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Statement of Financial Accounting Standards (PSAK) No. 36 are</w:t>
      </w:r>
      <w:proofErr w:type="gram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the principles and methods for recognizing specific income and expenses for life insurance companies. PT.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Asuransi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Sequis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Life Medan is a company engaged in life insurance services, where companies should apply PSAK No.36 in recognizing premium income and claim expenses. To find out the application of PSAK No.36 at PT.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Asuransi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Sequis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Life Medan, researchers use descriptive methods to analyze data and data collection techniques used are observation, interviews, and documentation. From the discussion conducted by researchers, PT.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Asuransi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Sequis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Life Medan uses the accrual basis method to recognize premium income and claim expenses are recognized when the obligation to pay life insurance claim expenses is incurred. Thus, PT.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Asuransi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</w:t>
      </w:r>
      <w:proofErr w:type="spellStart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Sequis</w:t>
      </w:r>
      <w:proofErr w:type="spellEnd"/>
      <w:r w:rsidRPr="00071B2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Life Medan has implemented PSAK No.36 in recognizing premium income and claim expenses. From the results of the discussion above, it can be concluded that:</w:t>
      </w:r>
    </w:p>
    <w:p w:rsidR="00EA79CF" w:rsidRPr="004A3D3C" w:rsidRDefault="00EA79CF" w:rsidP="00EA79C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0"/>
          <w:szCs w:val="24"/>
        </w:rPr>
      </w:pPr>
    </w:p>
    <w:p w:rsidR="00EA79CF" w:rsidRPr="004607F2" w:rsidRDefault="00EA79CF" w:rsidP="00EA79CF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PT. </w:t>
      </w:r>
      <w:proofErr w:type="spellStart"/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Asuransi</w:t>
      </w:r>
      <w:proofErr w:type="spellEnd"/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</w:t>
      </w:r>
      <w:proofErr w:type="spellStart"/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Sequis</w:t>
      </w:r>
      <w:proofErr w:type="spellEnd"/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 xml:space="preserve"> Life Medan is a company engaged in life insurance services.</w:t>
      </w:r>
    </w:p>
    <w:p w:rsidR="00EA79CF" w:rsidRPr="004607F2" w:rsidRDefault="00EA79CF" w:rsidP="00EA79CF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The main source of company revenue comes from the sale of policies.</w:t>
      </w:r>
    </w:p>
    <w:p w:rsidR="00EA79CF" w:rsidRPr="004607F2" w:rsidRDefault="00EA79CF" w:rsidP="00EA79CF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  <w:r w:rsidRPr="004607F2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  <w:t>In recognizing premium income, the company uses the accrual basis method and for claim expenses is recognized when the obligation to pay claim expenses arises.</w:t>
      </w:r>
    </w:p>
    <w:p w:rsidR="00EA79CF" w:rsidRPr="00071B2A" w:rsidRDefault="00EA79CF" w:rsidP="00EA79C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</w:p>
    <w:p w:rsidR="00EA79CF" w:rsidRPr="004607F2" w:rsidRDefault="00EA79CF" w:rsidP="00EA79C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</w:rPr>
      </w:pPr>
    </w:p>
    <w:p w:rsidR="00EA79CF" w:rsidRPr="00071B2A" w:rsidRDefault="00EA79CF" w:rsidP="00EA79C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</w:rPr>
      </w:pPr>
      <w:r w:rsidRPr="00071B2A"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</w:rPr>
        <w:t>Keywords: income, expenses</w:t>
      </w:r>
    </w:p>
    <w:p w:rsidR="00EA79CF" w:rsidRDefault="00EA79CF" w:rsidP="00EA79C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EA79CF" w:rsidRDefault="00EA79CF" w:rsidP="00EA79C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85837" w:rsidRPr="00EA79CF" w:rsidRDefault="00485837" w:rsidP="00EA79CF"/>
    <w:sectPr w:rsidR="00485837" w:rsidRPr="00EA79CF" w:rsidSect="00397F37">
      <w:headerReference w:type="default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531"/>
      <w:docPartObj>
        <w:docPartGallery w:val="Page Numbers (Bottom of Page)"/>
        <w:docPartUnique/>
      </w:docPartObj>
    </w:sdtPr>
    <w:sdtEndPr/>
    <w:sdtContent>
      <w:p w:rsidR="00652E80" w:rsidRDefault="005E429A">
        <w:pPr>
          <w:pStyle w:val="Footer"/>
          <w:jc w:val="center"/>
        </w:pPr>
        <w:r w:rsidRPr="00D848FD">
          <w:rPr>
            <w:rFonts w:ascii="Times New Roman" w:hAnsi="Times New Roman" w:cs="Times New Roman"/>
            <w:sz w:val="24"/>
          </w:rPr>
          <w:fldChar w:fldCharType="begin"/>
        </w:r>
        <w:r w:rsidRPr="00D848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48FD">
          <w:rPr>
            <w:rFonts w:ascii="Times New Roman" w:hAnsi="Times New Roman" w:cs="Times New Roman"/>
            <w:sz w:val="24"/>
          </w:rPr>
          <w:fldChar w:fldCharType="separate"/>
        </w:r>
        <w:r w:rsidR="00EA79CF">
          <w:rPr>
            <w:rFonts w:ascii="Times New Roman" w:hAnsi="Times New Roman" w:cs="Times New Roman"/>
            <w:noProof/>
            <w:sz w:val="24"/>
          </w:rPr>
          <w:t>2</w:t>
        </w:r>
        <w:r w:rsidRPr="00D848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2E80" w:rsidRDefault="005E429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538"/>
      <w:docPartObj>
        <w:docPartGallery w:val="Page Numbers (Top of Page)"/>
        <w:docPartUnique/>
      </w:docPartObj>
    </w:sdtPr>
    <w:sdtEndPr/>
    <w:sdtContent>
      <w:p w:rsidR="00652E80" w:rsidRDefault="005E429A">
        <w:pPr>
          <w:pStyle w:val="Header"/>
          <w:jc w:val="right"/>
        </w:pPr>
        <w:r w:rsidRPr="00D848FD">
          <w:rPr>
            <w:rFonts w:ascii="Times New Roman" w:hAnsi="Times New Roman" w:cs="Times New Roman"/>
            <w:sz w:val="24"/>
          </w:rPr>
          <w:fldChar w:fldCharType="begin"/>
        </w:r>
        <w:r w:rsidRPr="00D848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48FD">
          <w:rPr>
            <w:rFonts w:ascii="Times New Roman" w:hAnsi="Times New Roman" w:cs="Times New Roman"/>
            <w:sz w:val="24"/>
          </w:rPr>
          <w:fldChar w:fldCharType="separate"/>
        </w:r>
        <w:r w:rsidR="00EA79CF">
          <w:rPr>
            <w:rFonts w:ascii="Times New Roman" w:hAnsi="Times New Roman" w:cs="Times New Roman"/>
            <w:noProof/>
            <w:sz w:val="24"/>
          </w:rPr>
          <w:t>2</w:t>
        </w:r>
        <w:r w:rsidRPr="00D848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2E80" w:rsidRDefault="005E42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6F"/>
    <w:multiLevelType w:val="multilevel"/>
    <w:tmpl w:val="0C64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asciiTheme="majorBidi" w:hAnsiTheme="majorBidi" w:cstheme="majorBidi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hAnsiTheme="majorBidi" w:cstheme="majorBid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hAnsiTheme="majorBidi" w:cstheme="majorBidi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Bidi" w:hAnsiTheme="majorBidi" w:cstheme="majorBidi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hAnsiTheme="majorBidi" w:cstheme="majorBidi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Bidi" w:hAnsiTheme="majorBidi" w:cstheme="majorBidi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hAnsiTheme="majorBidi" w:cstheme="majorBidi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Bidi" w:hAnsiTheme="majorBidi" w:cstheme="majorBidi" w:hint="default"/>
        <w:b w:val="0"/>
        <w:i w:val="0"/>
      </w:rPr>
    </w:lvl>
  </w:abstractNum>
  <w:abstractNum w:abstractNumId="1">
    <w:nsid w:val="1D661125"/>
    <w:multiLevelType w:val="hybridMultilevel"/>
    <w:tmpl w:val="612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7F37"/>
    <w:rsid w:val="00397F37"/>
    <w:rsid w:val="00485837"/>
    <w:rsid w:val="005E429A"/>
    <w:rsid w:val="008504DF"/>
    <w:rsid w:val="00E84EEC"/>
    <w:rsid w:val="00EA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37"/>
  </w:style>
  <w:style w:type="paragraph" w:styleId="Footer">
    <w:name w:val="footer"/>
    <w:basedOn w:val="Normal"/>
    <w:link w:val="FooterChar"/>
    <w:uiPriority w:val="99"/>
    <w:unhideWhenUsed/>
    <w:rsid w:val="0039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37"/>
  </w:style>
  <w:style w:type="paragraph" w:styleId="BalloonText">
    <w:name w:val="Balloon Text"/>
    <w:basedOn w:val="Normal"/>
    <w:link w:val="BalloonTextChar"/>
    <w:uiPriority w:val="99"/>
    <w:semiHidden/>
    <w:unhideWhenUsed/>
    <w:rsid w:val="0039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4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2022-03-07T04:02:00Z</dcterms:created>
  <dcterms:modified xsi:type="dcterms:W3CDTF">2022-03-07T04:02:00Z</dcterms:modified>
</cp:coreProperties>
</file>